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c0c0c0" w:space="1" w:sz="36" w:val="single"/>
          <w:right w:space="0" w:sz="0" w:val="nil"/>
          <w:between w:space="0" w:sz="0" w:val="nil"/>
        </w:pBdr>
        <w:shd w:fill="auto" w:val="clear"/>
        <w:tabs>
          <w:tab w:val="left" w:pos="9900"/>
        </w:tabs>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UNIDADE DE EDUCAÇÃO CONTINUADA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UEC</w:t>
      </w:r>
    </w:p>
    <w:p w:rsidR="00000000" w:rsidDel="00000000" w:rsidP="00000000" w:rsidRDefault="00000000" w:rsidRPr="00000000" w14:paraId="00000002">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20" w:before="120" w:lineRule="auto"/>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b w:val="1"/>
          <w:i w:val="1"/>
          <w:sz w:val="20"/>
          <w:szCs w:val="20"/>
          <w:rtl w:val="0"/>
        </w:rPr>
        <w:t xml:space="preserve">erente: </w:t>
      </w:r>
      <w:r w:rsidDel="00000000" w:rsidR="00000000" w:rsidRPr="00000000">
        <w:rPr>
          <w:rFonts w:ascii="Arial" w:cs="Arial" w:eastAsia="Arial" w:hAnsi="Arial"/>
          <w:b w:val="1"/>
          <w:sz w:val="20"/>
          <w:szCs w:val="20"/>
          <w:rtl w:val="0"/>
        </w:rPr>
        <w:t xml:space="preserve">Graciele Wadas Zardin</w:t>
      </w:r>
      <w:r w:rsidDel="00000000" w:rsidR="00000000" w:rsidRPr="00000000">
        <w:rPr>
          <w:rtl w:val="0"/>
        </w:rPr>
      </w:r>
    </w:p>
    <w:p w:rsidR="00000000" w:rsidDel="00000000" w:rsidP="00000000" w:rsidRDefault="00000000" w:rsidRPr="00000000" w14:paraId="00000004">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1"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dimensão das ofertas de cursos de Pós-Graduação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Lato Sensu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VRPGPE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a Unidade de Educação Continuada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atuaram de forma objetiva e alinhada às proposições do PDI, trabalhando em conjunto com os Departamentos e as Escolas Superiores para garantir as ofertas de cursos nas diferentes áreas do conhecimento.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1"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Relatório da Vice-Reitoria de Pós-Graduação, Pesquisa e Extensão,</w:t>
      </w:r>
      <w:r w:rsidDel="00000000" w:rsidR="00000000" w:rsidRPr="00000000">
        <w:rPr>
          <w:rFonts w:ascii="Arial" w:cs="Arial" w:eastAsia="Arial" w:hAnsi="Arial"/>
          <w:sz w:val="20"/>
          <w:szCs w:val="20"/>
          <w:rtl w:val="0"/>
        </w:rPr>
        <w:t xml:space="preserve"> se explicita detalhadamente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ofertas de Pós-Graduação por área de conhecimento.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1"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Ampliamos neste ano, significativamente as ofertas, considerando o ofertado em 2017. Em 2018 foram 26 ofertas, o mesmo número de Ofertas de 2016. Considerando as ofertas, abaixo figura que representa as ofertas comparativas dos últimos 3 anos.</w:t>
      </w:r>
    </w:p>
    <w:p w:rsidR="00000000" w:rsidDel="00000000" w:rsidP="00000000" w:rsidRDefault="00000000" w:rsidRPr="00000000" w14:paraId="00000008">
      <w:pPr>
        <w:widowControl w:val="0"/>
        <w:spacing w:after="120" w:before="120" w:lineRule="auto"/>
        <w:ind w:right="14" w:firstLine="7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Figura 1</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b w:val="1"/>
          <w:sz w:val="20"/>
          <w:szCs w:val="20"/>
          <w:rtl w:val="0"/>
        </w:rPr>
        <w:t xml:space="preserve">Número e situação de ofertas de pós-graduação </w:t>
      </w:r>
      <w:r w:rsidDel="00000000" w:rsidR="00000000" w:rsidRPr="00000000">
        <w:rPr>
          <w:rFonts w:ascii="Arial" w:cs="Arial" w:eastAsia="Arial" w:hAnsi="Arial"/>
          <w:b w:val="1"/>
          <w:i w:val="1"/>
          <w:sz w:val="20"/>
          <w:szCs w:val="20"/>
          <w:rtl w:val="0"/>
        </w:rPr>
        <w:t xml:space="preserve">lato sensu</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829175" cy="2476500"/>
            <wp:effectExtent b="0" l="0" r="0" t="0"/>
            <wp:docPr descr="https://lh4.googleusercontent.com/Az2yNXbXbd11V2tEs8373fN0_bHMfMyjVhbwMawEA2a3B6KXhEX-vuu3-26ENTfXAUpTwXOaoFxmak-Zq5sVjN8WjbyZ8NBXZGFbRfa0DGvOkrl7ai4cJULKICdYn8JPQIImeFov" id="1" name="image1.png"/>
            <a:graphic>
              <a:graphicData uri="http://schemas.openxmlformats.org/drawingml/2006/picture">
                <pic:pic>
                  <pic:nvPicPr>
                    <pic:cNvPr descr="https://lh4.googleusercontent.com/Az2yNXbXbd11V2tEs8373fN0_bHMfMyjVhbwMawEA2a3B6KXhEX-vuu3-26ENTfXAUpTwXOaoFxmak-Zq5sVjN8WjbyZ8NBXZGFbRfa0DGvOkrl7ai4cJULKICdYn8JPQIImeFov" id="0" name="image1.png"/>
                    <pic:cNvPicPr preferRelativeResize="0"/>
                  </pic:nvPicPr>
                  <pic:blipFill>
                    <a:blip r:embed="rId6"/>
                    <a:srcRect b="0" l="0" r="0" t="0"/>
                    <a:stretch>
                      <a:fillRect/>
                    </a:stretch>
                  </pic:blipFill>
                  <pic:spPr>
                    <a:xfrm>
                      <a:off x="0" y="0"/>
                      <a:ext cx="4829175"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Fonte: Dados fornecidos pela UEC, dezembro de 2018.</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spacing w:after="120" w:before="120" w:lineRule="auto"/>
        <w:ind w:right="14"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Mesmo trabalhando com ofertas de cursos de Pós-Graduação </w:t>
      </w:r>
      <w:r w:rsidDel="00000000" w:rsidR="00000000" w:rsidRPr="00000000">
        <w:rPr>
          <w:rFonts w:ascii="Arial" w:cs="Arial" w:eastAsia="Arial" w:hAnsi="Arial"/>
          <w:i w:val="1"/>
          <w:sz w:val="20"/>
          <w:szCs w:val="20"/>
          <w:rtl w:val="0"/>
        </w:rPr>
        <w:t xml:space="preserve">Lato Sensu, </w:t>
      </w:r>
      <w:r w:rsidDel="00000000" w:rsidR="00000000" w:rsidRPr="00000000">
        <w:rPr>
          <w:rFonts w:ascii="Arial" w:cs="Arial" w:eastAsia="Arial" w:hAnsi="Arial"/>
          <w:sz w:val="20"/>
          <w:szCs w:val="20"/>
          <w:rtl w:val="0"/>
        </w:rPr>
        <w:t xml:space="preserve">que se diferenciam pelo foco na atividade prática, focadas na demanda de mercado, além de serem ofertas estratégicas e com grandes diferenciais no mercado, sentimos a crise de forma significativa. </w:t>
      </w:r>
    </w:p>
    <w:p w:rsidR="00000000" w:rsidDel="00000000" w:rsidP="00000000" w:rsidRDefault="00000000" w:rsidRPr="00000000" w14:paraId="0000000D">
      <w:pPr>
        <w:spacing w:after="120" w:before="120" w:lineRule="auto"/>
        <w:ind w:right="14"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equipe de venda sentiu a resistência das pessoas em fazer um investimento a longo prazo, por estarem vivendo um momento não estável no trabalho, sendo agravado, ainda mais, por ser um período de eleição, completamente instável nacionalmente.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nível de Pós-Graduação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Lato Sensu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alcançamos 43% de efetividade, ou seja, 5% a menos que no ano de 2017; assim, constatamos que, mesmo que com um número mais expressivo de ofertas, tivemos dificuldades e não conseguimos ampliar o percentual de efetivação neste nível de ensino. Das 26 ofertas de cursos,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efetivamos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11, não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efetivamos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 e, ainda, 3 mantiveram suas inscrições para o ano de 2019. Sobre as ofertas, </w:t>
      </w:r>
      <w:r w:rsidDel="00000000" w:rsidR="00000000" w:rsidRPr="00000000">
        <w:rPr>
          <w:rFonts w:ascii="Arial" w:cs="Arial" w:eastAsia="Arial" w:hAnsi="Arial"/>
          <w:sz w:val="20"/>
          <w:szCs w:val="20"/>
          <w:rtl w:val="0"/>
        </w:rPr>
        <w:t xml:space="preserve">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relatório da Vice-Reitoria de Pós-Graduação, Pesquisa e Extensão, é possível ver </w:t>
      </w:r>
      <w:r w:rsidDel="00000000" w:rsidR="00000000" w:rsidRPr="00000000">
        <w:rPr>
          <w:rFonts w:ascii="Arial" w:cs="Arial" w:eastAsia="Arial" w:hAnsi="Arial"/>
          <w:sz w:val="20"/>
          <w:szCs w:val="20"/>
          <w:rtl w:val="0"/>
        </w:rPr>
        <w:t xml:space="preserve">analisar as informações nos gráficos explicitados.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14"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Abaixo a relação de cursos ofertados, com o respectivo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oferta e o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epartamento de origem desta:</w:t>
      </w:r>
    </w:p>
    <w:tbl>
      <w:tblPr>
        <w:tblStyle w:val="Table1"/>
        <w:tblW w:w="910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5"/>
        <w:gridCol w:w="1559"/>
        <w:gridCol w:w="1417"/>
        <w:tblGridChange w:id="0">
          <w:tblGrid>
            <w:gridCol w:w="6125"/>
            <w:gridCol w:w="1559"/>
            <w:gridCol w:w="1417"/>
          </w:tblGrid>
        </w:tblGridChange>
      </w:tblGrid>
      <w:tr>
        <w:tc>
          <w:tcPr>
            <w:gridSpan w:val="3"/>
            <w:shd w:fill="d9d9d9" w:val="clear"/>
            <w:vAlign w:val="center"/>
          </w:tcPr>
          <w:p w:rsidR="00000000" w:rsidDel="00000000" w:rsidP="00000000" w:rsidRDefault="00000000" w:rsidRPr="00000000" w14:paraId="00000016">
            <w:pPr>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MBA, ESPECIALIZAÇÃO e RESIDÊNCIA</w:t>
            </w:r>
          </w:p>
        </w:tc>
      </w:tr>
      <w:tr>
        <w:tc>
          <w:tcPr>
            <w:shd w:fill="d9d9d9" w:val="clear"/>
            <w:vAlign w:val="center"/>
          </w:tcPr>
          <w:p w:rsidR="00000000" w:rsidDel="00000000" w:rsidP="00000000" w:rsidRDefault="00000000" w:rsidRPr="00000000" w14:paraId="0000001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w:t>
            </w:r>
          </w:p>
        </w:tc>
        <w:tc>
          <w:tcPr>
            <w:shd w:fill="d9d9d9" w:val="clear"/>
            <w:vAlign w:val="center"/>
          </w:tcPr>
          <w:p w:rsidR="00000000" w:rsidDel="00000000" w:rsidP="00000000" w:rsidRDefault="00000000" w:rsidRPr="00000000" w14:paraId="000000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Departamento</w:t>
            </w:r>
          </w:p>
        </w:tc>
        <w:tc>
          <w:tcPr>
            <w:shd w:fill="d9d9d9" w:val="clear"/>
            <w:vAlign w:val="center"/>
          </w:tcPr>
          <w:p w:rsidR="00000000" w:rsidDel="00000000" w:rsidP="00000000" w:rsidRDefault="00000000" w:rsidRPr="00000000" w14:paraId="0000001B">
            <w:pPr>
              <w:spacing w:after="40" w:before="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Campus</w:t>
            </w:r>
          </w:p>
        </w:tc>
      </w:tr>
      <w:tr>
        <w:tc>
          <w:tcPr>
            <w:gridSpan w:val="3"/>
            <w:shd w:fill="d9d9d9" w:val="clear"/>
          </w:tcPr>
          <w:p w:rsidR="00000000" w:rsidDel="00000000" w:rsidP="00000000" w:rsidRDefault="00000000" w:rsidRPr="00000000" w14:paraId="0000001C">
            <w:pPr>
              <w:spacing w:after="40" w:before="40" w:lineRule="auto"/>
              <w:ind w:left="4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Efetivados</w:t>
            </w:r>
          </w:p>
        </w:tc>
      </w:tr>
      <w:tr>
        <w:tc>
          <w:tcPr>
            <w:shd w:fill="auto" w:val="clear"/>
            <w:vAlign w:val="bottom"/>
          </w:tcPr>
          <w:p w:rsidR="00000000" w:rsidDel="00000000" w:rsidP="00000000" w:rsidRDefault="00000000" w:rsidRPr="00000000" w14:paraId="000000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Coaching e Gerenciamento de Pessoas – 4ª edição</w:t>
            </w:r>
          </w:p>
        </w:tc>
        <w:tc>
          <w:tcPr>
            <w:shd w:fill="auto" w:val="clear"/>
            <w:vAlign w:val="bottom"/>
          </w:tcPr>
          <w:p w:rsidR="00000000" w:rsidDel="00000000" w:rsidP="00000000" w:rsidRDefault="00000000" w:rsidRPr="00000000" w14:paraId="0000002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c>
          <w:tcPr>
            <w:shd w:fill="auto" w:val="clear"/>
            <w:vAlign w:val="bottom"/>
          </w:tcPr>
          <w:p w:rsidR="00000000" w:rsidDel="00000000" w:rsidP="00000000" w:rsidRDefault="00000000" w:rsidRPr="00000000" w14:paraId="0000002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Controladoria e Gestão Empresarial – 6ª edição</w:t>
            </w:r>
          </w:p>
        </w:tc>
        <w:tc>
          <w:tcPr>
            <w:shd w:fill="auto" w:val="clear"/>
            <w:vAlign w:val="bottom"/>
          </w:tcPr>
          <w:p w:rsidR="00000000" w:rsidDel="00000000" w:rsidP="00000000" w:rsidRDefault="00000000" w:rsidRPr="00000000" w14:paraId="0000002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2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Direito do Trabalho, Processo do Trabalho e Previdenciário –</w:t>
            </w:r>
          </w:p>
          <w:p w:rsidR="00000000" w:rsidDel="00000000" w:rsidP="00000000" w:rsidRDefault="00000000" w:rsidRPr="00000000" w14:paraId="0000002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2ª edição </w:t>
            </w:r>
          </w:p>
        </w:tc>
        <w:tc>
          <w:tcPr>
            <w:shd w:fill="auto" w:val="clear"/>
            <w:vAlign w:val="bottom"/>
          </w:tcPr>
          <w:p w:rsidR="00000000" w:rsidDel="00000000" w:rsidP="00000000" w:rsidRDefault="00000000" w:rsidRPr="00000000" w14:paraId="000000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2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2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Direito do Trabalho, Processo do Trabalho e Previdenciário – </w:t>
            </w:r>
          </w:p>
          <w:p w:rsidR="00000000" w:rsidDel="00000000" w:rsidP="00000000" w:rsidRDefault="00000000" w:rsidRPr="00000000" w14:paraId="0000002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2ª edição</w:t>
            </w:r>
          </w:p>
        </w:tc>
        <w:tc>
          <w:tcPr>
            <w:shd w:fill="auto" w:val="clear"/>
            <w:vAlign w:val="bottom"/>
          </w:tcPr>
          <w:p w:rsidR="00000000" w:rsidDel="00000000" w:rsidP="00000000" w:rsidRDefault="00000000" w:rsidRPr="00000000" w14:paraId="000000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2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Panambi</w:t>
            </w:r>
          </w:p>
        </w:tc>
      </w:tr>
      <w:tr>
        <w:tc>
          <w:tcPr>
            <w:shd w:fill="auto" w:val="clear"/>
            <w:vAlign w:val="bottom"/>
          </w:tcPr>
          <w:p w:rsidR="00000000" w:rsidDel="00000000" w:rsidP="00000000" w:rsidRDefault="00000000" w:rsidRPr="00000000" w14:paraId="000000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Enfermagem em Terapia Intensiva – 4ª edição</w:t>
            </w:r>
          </w:p>
        </w:tc>
        <w:tc>
          <w:tcPr>
            <w:shd w:fill="auto" w:val="clear"/>
            <w:vAlign w:val="bottom"/>
          </w:tcPr>
          <w:p w:rsidR="00000000" w:rsidDel="00000000" w:rsidP="00000000" w:rsidRDefault="00000000" w:rsidRPr="00000000" w14:paraId="0000002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2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3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Enfermagem Obstétrica – 1ª edição</w:t>
            </w:r>
          </w:p>
        </w:tc>
        <w:tc>
          <w:tcPr>
            <w:shd w:fill="auto" w:val="clear"/>
            <w:vAlign w:val="bottom"/>
          </w:tcPr>
          <w:p w:rsidR="00000000" w:rsidDel="00000000" w:rsidP="00000000" w:rsidRDefault="00000000" w:rsidRPr="00000000" w14:paraId="000000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3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Engenharia de Segurança do Trabalho – 11ª edição</w:t>
            </w:r>
          </w:p>
        </w:tc>
        <w:tc>
          <w:tcPr>
            <w:shd w:fill="auto" w:val="clear"/>
            <w:vAlign w:val="bottom"/>
          </w:tcPr>
          <w:p w:rsidR="00000000" w:rsidDel="00000000" w:rsidP="00000000" w:rsidRDefault="00000000" w:rsidRPr="00000000" w14:paraId="0000003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DCEEng</w:t>
            </w:r>
          </w:p>
        </w:tc>
        <w:tc>
          <w:tcPr>
            <w:shd w:fill="auto" w:val="clear"/>
            <w:vAlign w:val="bottom"/>
          </w:tcPr>
          <w:p w:rsidR="00000000" w:rsidDel="00000000" w:rsidP="00000000" w:rsidRDefault="00000000" w:rsidRPr="00000000" w14:paraId="0000003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3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Gestão e Atenção Farmacêutica – 3ª edição</w:t>
            </w:r>
          </w:p>
        </w:tc>
        <w:tc>
          <w:tcPr>
            <w:shd w:fill="auto" w:val="clear"/>
            <w:vAlign w:val="bottom"/>
          </w:tcPr>
          <w:p w:rsidR="00000000" w:rsidDel="00000000" w:rsidP="00000000" w:rsidRDefault="00000000" w:rsidRPr="00000000" w14:paraId="000000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3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MBA em Marketing – 1ª Edição</w:t>
            </w:r>
          </w:p>
        </w:tc>
        <w:tc>
          <w:tcPr>
            <w:shd w:fill="auto" w:val="clear"/>
            <w:vAlign w:val="bottom"/>
          </w:tcPr>
          <w:p w:rsidR="00000000" w:rsidDel="00000000" w:rsidP="00000000" w:rsidRDefault="00000000" w:rsidRPr="00000000" w14:paraId="0000003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3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3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Residência Multiprofissional em Saúde da Família</w:t>
            </w:r>
          </w:p>
        </w:tc>
        <w:tc>
          <w:tcPr>
            <w:shd w:fill="auto" w:val="clear"/>
            <w:vAlign w:val="bottom"/>
          </w:tcPr>
          <w:p w:rsidR="00000000" w:rsidDel="00000000" w:rsidP="00000000" w:rsidRDefault="00000000" w:rsidRPr="00000000" w14:paraId="0000003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3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c>
          <w:tcPr>
            <w:shd w:fill="auto" w:val="clear"/>
            <w:vAlign w:val="bottom"/>
          </w:tcPr>
          <w:p w:rsidR="00000000" w:rsidDel="00000000" w:rsidP="00000000" w:rsidRDefault="00000000" w:rsidRPr="00000000" w14:paraId="000000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Tecnologias para Unidades Armazenadoras de Grãos e Sementes – 1ª edição</w:t>
            </w:r>
          </w:p>
        </w:tc>
        <w:tc>
          <w:tcPr>
            <w:shd w:fill="auto" w:val="clear"/>
            <w:vAlign w:val="bottom"/>
          </w:tcPr>
          <w:p w:rsidR="00000000" w:rsidDel="00000000" w:rsidP="00000000" w:rsidRDefault="00000000" w:rsidRPr="00000000" w14:paraId="0000004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DCEEng</w:t>
            </w:r>
          </w:p>
        </w:tc>
        <w:tc>
          <w:tcPr>
            <w:shd w:fill="auto" w:val="clear"/>
            <w:vAlign w:val="bottom"/>
          </w:tcPr>
          <w:p w:rsidR="00000000" w:rsidDel="00000000" w:rsidP="00000000" w:rsidRDefault="00000000" w:rsidRPr="00000000" w14:paraId="0000004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Panambi</w:t>
            </w:r>
          </w:p>
        </w:tc>
      </w:tr>
      <w:tr>
        <w:tc>
          <w:tcPr>
            <w:gridSpan w:val="3"/>
            <w:shd w:fill="d9d9d9" w:val="clear"/>
            <w:vAlign w:val="center"/>
          </w:tcPr>
          <w:p w:rsidR="00000000" w:rsidDel="00000000" w:rsidP="00000000" w:rsidRDefault="00000000" w:rsidRPr="00000000" w14:paraId="00000042">
            <w:pPr>
              <w:spacing w:after="40" w:before="40" w:lineRule="auto"/>
              <w:ind w:left="4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Não Efetivados</w:t>
            </w:r>
          </w:p>
        </w:tc>
      </w:tr>
      <w:tr>
        <w:tc>
          <w:tcPr>
            <w:shd w:fill="auto" w:val="clear"/>
            <w:vAlign w:val="bottom"/>
          </w:tcPr>
          <w:p w:rsidR="00000000" w:rsidDel="00000000" w:rsidP="00000000" w:rsidRDefault="00000000" w:rsidRPr="00000000" w14:paraId="000000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Clínica de Bovinos de Leite – 2ª edição</w:t>
            </w:r>
          </w:p>
        </w:tc>
        <w:tc>
          <w:tcPr>
            <w:shd w:fill="auto" w:val="clear"/>
            <w:vAlign w:val="bottom"/>
          </w:tcPr>
          <w:p w:rsidR="00000000" w:rsidDel="00000000" w:rsidP="00000000" w:rsidRDefault="00000000" w:rsidRPr="00000000" w14:paraId="0000004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4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4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Direito do Trabalho, Processo do Trabalho e Previdenciário – 2ª edição </w:t>
            </w:r>
          </w:p>
        </w:tc>
        <w:tc>
          <w:tcPr>
            <w:shd w:fill="auto" w:val="clear"/>
            <w:vAlign w:val="bottom"/>
          </w:tcPr>
          <w:p w:rsidR="00000000" w:rsidDel="00000000" w:rsidP="00000000" w:rsidRDefault="00000000" w:rsidRPr="00000000" w14:paraId="0000004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4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c>
          <w:tcPr>
            <w:shd w:fill="auto" w:val="clear"/>
            <w:vAlign w:val="bottom"/>
          </w:tcPr>
          <w:p w:rsidR="00000000" w:rsidDel="00000000" w:rsidP="00000000" w:rsidRDefault="00000000" w:rsidRPr="00000000" w14:paraId="0000004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Direito Processual Civil – 8ª edição</w:t>
            </w:r>
          </w:p>
        </w:tc>
        <w:tc>
          <w:tcPr>
            <w:shd w:fill="auto" w:val="clear"/>
            <w:vAlign w:val="bottom"/>
          </w:tcPr>
          <w:p w:rsidR="00000000" w:rsidDel="00000000" w:rsidP="00000000" w:rsidRDefault="00000000" w:rsidRPr="00000000" w14:paraId="0000004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4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4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Engenharia Industrial – 6ª edição</w:t>
            </w:r>
          </w:p>
        </w:tc>
        <w:tc>
          <w:tcPr>
            <w:shd w:fill="auto" w:val="clear"/>
            <w:vAlign w:val="bottom"/>
          </w:tcPr>
          <w:p w:rsidR="00000000" w:rsidDel="00000000" w:rsidP="00000000" w:rsidRDefault="00000000" w:rsidRPr="00000000" w14:paraId="0000004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DCEEng</w:t>
            </w:r>
          </w:p>
        </w:tc>
        <w:tc>
          <w:tcPr>
            <w:shd w:fill="auto" w:val="clear"/>
            <w:vAlign w:val="bottom"/>
          </w:tcPr>
          <w:p w:rsidR="00000000" w:rsidDel="00000000" w:rsidP="00000000" w:rsidRDefault="00000000" w:rsidRPr="00000000" w14:paraId="0000005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Panambi</w:t>
            </w:r>
          </w:p>
        </w:tc>
      </w:tr>
      <w:tr>
        <w:tc>
          <w:tcPr>
            <w:shd w:fill="auto" w:val="clear"/>
            <w:vAlign w:val="bottom"/>
          </w:tcPr>
          <w:p w:rsidR="00000000" w:rsidDel="00000000" w:rsidP="00000000" w:rsidRDefault="00000000" w:rsidRPr="00000000" w14:paraId="0000005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Estética e Saúde – 3ª edição</w:t>
            </w:r>
          </w:p>
        </w:tc>
        <w:tc>
          <w:tcPr>
            <w:shd w:fill="auto" w:val="clear"/>
            <w:vAlign w:val="bottom"/>
          </w:tcPr>
          <w:p w:rsidR="00000000" w:rsidDel="00000000" w:rsidP="00000000" w:rsidRDefault="00000000" w:rsidRPr="00000000" w14:paraId="0000005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5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5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em Terapia Intensiva – 2ª edição</w:t>
            </w:r>
          </w:p>
        </w:tc>
        <w:tc>
          <w:tcPr>
            <w:shd w:fill="auto" w:val="clear"/>
            <w:vAlign w:val="bottom"/>
          </w:tcPr>
          <w:p w:rsidR="00000000" w:rsidDel="00000000" w:rsidP="00000000" w:rsidRDefault="00000000" w:rsidRPr="00000000" w14:paraId="0000005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5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5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MBA em Gestão de Unidades Hospitalares – 1ª edição</w:t>
            </w:r>
          </w:p>
        </w:tc>
        <w:tc>
          <w:tcPr>
            <w:shd w:fill="auto" w:val="clear"/>
            <w:vAlign w:val="bottom"/>
          </w:tcPr>
          <w:p w:rsidR="00000000" w:rsidDel="00000000" w:rsidP="00000000" w:rsidRDefault="00000000" w:rsidRPr="00000000" w14:paraId="0000005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5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5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MBA em Marketing e Comunicação Digital – 2ª edição</w:t>
            </w:r>
          </w:p>
        </w:tc>
        <w:tc>
          <w:tcPr>
            <w:shd w:fill="auto" w:val="clear"/>
            <w:vAlign w:val="bottom"/>
          </w:tcPr>
          <w:p w:rsidR="00000000" w:rsidDel="00000000" w:rsidP="00000000" w:rsidRDefault="00000000" w:rsidRPr="00000000" w14:paraId="0000005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5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5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Nutrição Clínica: metabologia e terapia nutricional – 1ª edição</w:t>
            </w:r>
          </w:p>
        </w:tc>
        <w:tc>
          <w:tcPr>
            <w:shd w:fill="auto" w:val="clear"/>
            <w:vAlign w:val="bottom"/>
          </w:tcPr>
          <w:p w:rsidR="00000000" w:rsidDel="00000000" w:rsidP="00000000" w:rsidRDefault="00000000" w:rsidRPr="00000000" w14:paraId="0000005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5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6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Prática Hospitalar de Pequenos Animais – 1ª edição</w:t>
            </w:r>
          </w:p>
        </w:tc>
        <w:tc>
          <w:tcPr>
            <w:shd w:fill="auto" w:val="clear"/>
            <w:vAlign w:val="bottom"/>
          </w:tcPr>
          <w:p w:rsidR="00000000" w:rsidDel="00000000" w:rsidP="00000000" w:rsidRDefault="00000000" w:rsidRPr="00000000" w14:paraId="0000006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6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6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Residência em Medicina da Família e Comunidade</w:t>
            </w:r>
          </w:p>
        </w:tc>
        <w:tc>
          <w:tcPr>
            <w:shd w:fill="auto" w:val="clear"/>
            <w:vAlign w:val="bottom"/>
          </w:tcPr>
          <w:p w:rsidR="00000000" w:rsidDel="00000000" w:rsidP="00000000" w:rsidRDefault="00000000" w:rsidRPr="00000000" w14:paraId="0000006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6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c>
          <w:tcPr>
            <w:shd w:fill="auto" w:val="clear"/>
            <w:vAlign w:val="bottom"/>
          </w:tcPr>
          <w:p w:rsidR="00000000" w:rsidDel="00000000" w:rsidP="00000000" w:rsidRDefault="00000000" w:rsidRPr="00000000" w14:paraId="0000006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Sociologia da Violência: Educação para a paz – 1ª edição</w:t>
            </w:r>
          </w:p>
        </w:tc>
        <w:tc>
          <w:tcPr>
            <w:shd w:fill="auto" w:val="clear"/>
            <w:vAlign w:val="bottom"/>
          </w:tcPr>
          <w:p w:rsidR="00000000" w:rsidDel="00000000" w:rsidP="00000000" w:rsidRDefault="00000000" w:rsidRPr="00000000" w14:paraId="0000006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6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gridSpan w:val="3"/>
            <w:shd w:fill="e7e6e6" w:val="clear"/>
          </w:tcPr>
          <w:p w:rsidR="00000000" w:rsidDel="00000000" w:rsidP="00000000" w:rsidRDefault="00000000" w:rsidRPr="00000000" w14:paraId="00000069">
            <w:pPr>
              <w:spacing w:after="40" w:before="40" w:lineRule="auto"/>
              <w:ind w:left="4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Prorrogados para 2019</w:t>
            </w:r>
          </w:p>
        </w:tc>
      </w:tr>
      <w:tr>
        <w:tc>
          <w:tcPr>
            <w:shd w:fill="auto" w:val="clear"/>
            <w:vAlign w:val="bottom"/>
          </w:tcPr>
          <w:p w:rsidR="00000000" w:rsidDel="00000000" w:rsidP="00000000" w:rsidRDefault="00000000" w:rsidRPr="00000000" w14:paraId="0000006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Ecofisiologia da Produção Vegetal – 1ª edição</w:t>
            </w:r>
          </w:p>
        </w:tc>
        <w:tc>
          <w:tcPr>
            <w:shd w:fill="auto" w:val="clear"/>
            <w:vAlign w:val="bottom"/>
          </w:tcPr>
          <w:p w:rsidR="00000000" w:rsidDel="00000000" w:rsidP="00000000" w:rsidRDefault="00000000" w:rsidRPr="00000000" w14:paraId="0000006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6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6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em Ortopedia e Traumatologia – 2ª edição</w:t>
            </w:r>
          </w:p>
        </w:tc>
        <w:tc>
          <w:tcPr>
            <w:shd w:fill="auto" w:val="clear"/>
            <w:vAlign w:val="bottom"/>
          </w:tcPr>
          <w:p w:rsidR="00000000" w:rsidDel="00000000" w:rsidP="00000000" w:rsidRDefault="00000000" w:rsidRPr="00000000" w14:paraId="0000007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7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shd w:fill="auto" w:val="clear"/>
            <w:vAlign w:val="bottom"/>
          </w:tcPr>
          <w:p w:rsidR="00000000" w:rsidDel="00000000" w:rsidP="00000000" w:rsidRDefault="00000000" w:rsidRPr="00000000" w14:paraId="0000007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Geriatria e Gerontologia – 2ª edição</w:t>
            </w:r>
          </w:p>
        </w:tc>
        <w:tc>
          <w:tcPr>
            <w:shd w:fill="auto" w:val="clear"/>
            <w:vAlign w:val="bottom"/>
          </w:tcPr>
          <w:p w:rsidR="00000000" w:rsidDel="00000000" w:rsidP="00000000" w:rsidRDefault="00000000" w:rsidRPr="00000000" w14:paraId="0000007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7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c>
          <w:tcPr>
            <w:gridSpan w:val="3"/>
            <w:shd w:fill="d9d9d9" w:val="clear"/>
          </w:tcPr>
          <w:p w:rsidR="00000000" w:rsidDel="00000000" w:rsidP="00000000" w:rsidRDefault="00000000" w:rsidRPr="00000000" w14:paraId="00000075">
            <w:pPr>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 cursos ofertados</w:t>
            </w:r>
          </w:p>
          <w:p w:rsidR="00000000" w:rsidDel="00000000" w:rsidP="00000000" w:rsidRDefault="00000000" w:rsidRPr="00000000" w14:paraId="00000076">
            <w:pPr>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cursos efetivados</w:t>
            </w:r>
          </w:p>
          <w:p w:rsidR="00000000" w:rsidDel="00000000" w:rsidP="00000000" w:rsidRDefault="00000000" w:rsidRPr="00000000" w14:paraId="00000077">
            <w:pPr>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cursos não efetivados</w:t>
            </w:r>
          </w:p>
          <w:p w:rsidR="00000000" w:rsidDel="00000000" w:rsidP="00000000" w:rsidRDefault="00000000" w:rsidRPr="00000000" w14:paraId="00000078">
            <w:pPr>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cursos prorrogados</w:t>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relação com empresas e instituições que mantêm uma política de investir na formação de suas equipes, firmando convênios corporativos que possibilitam a concessão de descontos especiais aos colaboradores conveniados, que possuem interesse em cursos de Educação Continuada na UNIJUÍ, foi mantida, e, em 2018, foram realizados mais de 20 convênios. Nesta mesma perspectiva, também realizamos oito formações de professores e cinco cursos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Das formações de professores, também executamos em 2018 a parceria, já fechada em 2017, com o COMUNG e o Governo do Estado do Rio Grande do Sul para a formação de professores do Rio Grande do Sul: a pesquisa-ação colaborativa como elemento de qualificação das práticas educativas. Este projeto é oriundo de verba aprovada pela consulta popular para o Corede Missões, e que irá atender cinco municípios com dois cursos de 60 horas cada um deles, qualificando mais ou menos 300 professores.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qualificação profissional o índice de efetivação é de 5% a mais que 2017. Este aumento nos possibilitou alcançar as metas previstas no planejamento institucional. Em 2018 foram 61 cursos ofertados, e, destes, 44 efetivados em que alcançamos 73% de efetivação. A seguir a relação dos cursos de qualificação profissional ofertados:</w:t>
      </w:r>
    </w:p>
    <w:tbl>
      <w:tblPr>
        <w:tblStyle w:val="Table2"/>
        <w:tblW w:w="9498.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1"/>
        <w:gridCol w:w="1701"/>
        <w:gridCol w:w="1276"/>
        <w:tblGridChange w:id="0">
          <w:tblGrid>
            <w:gridCol w:w="6521"/>
            <w:gridCol w:w="1701"/>
            <w:gridCol w:w="1276"/>
          </w:tblGrid>
        </w:tblGridChange>
      </w:tblGrid>
      <w:tr>
        <w:trPr>
          <w:trHeight w:val="360" w:hRule="atLeast"/>
        </w:trPr>
        <w:tc>
          <w:tcPr>
            <w:gridSpan w:val="3"/>
            <w:shd w:fill="d9d9d9" w:val="clear"/>
            <w:vAlign w:val="bottom"/>
          </w:tcPr>
          <w:p w:rsidR="00000000" w:rsidDel="00000000" w:rsidP="00000000" w:rsidRDefault="00000000" w:rsidRPr="00000000" w14:paraId="000000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Cursos de Qualificação Profissional</w:t>
            </w:r>
          </w:p>
        </w:tc>
      </w:tr>
      <w:tr>
        <w:trPr>
          <w:trHeight w:val="260" w:hRule="atLeast"/>
        </w:trPr>
        <w:tc>
          <w:tcPr>
            <w:shd w:fill="d9d9d9" w:val="clear"/>
            <w:vAlign w:val="center"/>
          </w:tcPr>
          <w:p w:rsidR="00000000" w:rsidDel="00000000" w:rsidP="00000000" w:rsidRDefault="00000000" w:rsidRPr="00000000" w14:paraId="0000008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w:t>
            </w:r>
          </w:p>
        </w:tc>
        <w:tc>
          <w:tcPr>
            <w:shd w:fill="d9d9d9" w:val="clear"/>
            <w:vAlign w:val="center"/>
          </w:tcPr>
          <w:p w:rsidR="00000000" w:rsidDel="00000000" w:rsidP="00000000" w:rsidRDefault="00000000" w:rsidRPr="00000000" w14:paraId="000000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Departamento</w:t>
            </w:r>
          </w:p>
        </w:tc>
        <w:tc>
          <w:tcPr>
            <w:shd w:fill="d9d9d9" w:val="clear"/>
            <w:vAlign w:val="center"/>
          </w:tcPr>
          <w:p w:rsidR="00000000" w:rsidDel="00000000" w:rsidP="00000000" w:rsidRDefault="00000000" w:rsidRPr="00000000" w14:paraId="00000085">
            <w:pPr>
              <w:spacing w:after="40" w:before="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Campus</w:t>
            </w:r>
          </w:p>
        </w:tc>
      </w:tr>
      <w:tr>
        <w:trPr>
          <w:trHeight w:val="240" w:hRule="atLeast"/>
        </w:trPr>
        <w:tc>
          <w:tcPr>
            <w:gridSpan w:val="3"/>
            <w:shd w:fill="d9d9d9" w:val="clear"/>
            <w:vAlign w:val="center"/>
          </w:tcPr>
          <w:p w:rsidR="00000000" w:rsidDel="00000000" w:rsidP="00000000" w:rsidRDefault="00000000" w:rsidRPr="00000000" w14:paraId="000000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Efetivados</w:t>
            </w:r>
          </w:p>
        </w:tc>
      </w:tr>
      <w:tr>
        <w:trPr>
          <w:trHeight w:val="240" w:hRule="atLeast"/>
        </w:trPr>
        <w:tc>
          <w:tcPr>
            <w:shd w:fill="auto" w:val="clear"/>
            <w:vAlign w:val="bottom"/>
          </w:tcPr>
          <w:p w:rsidR="00000000" w:rsidDel="00000000" w:rsidP="00000000" w:rsidRDefault="00000000" w:rsidRPr="00000000" w14:paraId="0000008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de Medicamentos Injetáveis – Ijuí – 2ª edição</w:t>
            </w:r>
          </w:p>
        </w:tc>
        <w:tc>
          <w:tcPr>
            <w:shd w:fill="auto" w:val="clear"/>
            <w:vAlign w:val="bottom"/>
          </w:tcPr>
          <w:p w:rsidR="00000000" w:rsidDel="00000000" w:rsidP="00000000" w:rsidRDefault="00000000" w:rsidRPr="00000000" w14:paraId="000000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8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8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de Medicamentos Injetáveis – 1ª edição</w:t>
            </w:r>
          </w:p>
        </w:tc>
        <w:tc>
          <w:tcPr>
            <w:shd w:fill="auto" w:val="clear"/>
            <w:vAlign w:val="bottom"/>
          </w:tcPr>
          <w:p w:rsidR="00000000" w:rsidDel="00000000" w:rsidP="00000000" w:rsidRDefault="00000000" w:rsidRPr="00000000" w14:paraId="0000008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8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8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Assistência de Enfermagem em Unidade de Terapia Intensiva</w:t>
            </w:r>
          </w:p>
        </w:tc>
        <w:tc>
          <w:tcPr>
            <w:shd w:fill="auto" w:val="clear"/>
            <w:vAlign w:val="bottom"/>
          </w:tcPr>
          <w:p w:rsidR="00000000" w:rsidDel="00000000" w:rsidP="00000000" w:rsidRDefault="00000000" w:rsidRPr="00000000" w14:paraId="000000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9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9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Atualidades em Eletroterapias – 1ª edição</w:t>
            </w:r>
          </w:p>
        </w:tc>
        <w:tc>
          <w:tcPr>
            <w:shd w:fill="auto" w:val="clear"/>
            <w:vAlign w:val="bottom"/>
          </w:tcPr>
          <w:p w:rsidR="00000000" w:rsidDel="00000000" w:rsidP="00000000" w:rsidRDefault="00000000" w:rsidRPr="00000000" w14:paraId="0000009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9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9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13ª edição</w:t>
            </w:r>
          </w:p>
        </w:tc>
        <w:tc>
          <w:tcPr>
            <w:shd w:fill="auto" w:val="clear"/>
            <w:vAlign w:val="bottom"/>
          </w:tcPr>
          <w:p w:rsidR="00000000" w:rsidDel="00000000" w:rsidP="00000000" w:rsidRDefault="00000000" w:rsidRPr="00000000" w14:paraId="000000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9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9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14ª edição</w:t>
            </w:r>
          </w:p>
        </w:tc>
        <w:tc>
          <w:tcPr>
            <w:shd w:fill="auto" w:val="clear"/>
            <w:vAlign w:val="bottom"/>
          </w:tcPr>
          <w:p w:rsidR="00000000" w:rsidDel="00000000" w:rsidP="00000000" w:rsidRDefault="00000000" w:rsidRPr="00000000" w14:paraId="0000009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9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rPr>
          <w:trHeight w:val="240" w:hRule="atLeast"/>
        </w:trPr>
        <w:tc>
          <w:tcPr>
            <w:shd w:fill="auto" w:val="clear"/>
            <w:vAlign w:val="bottom"/>
          </w:tcPr>
          <w:p w:rsidR="00000000" w:rsidDel="00000000" w:rsidP="00000000" w:rsidRDefault="00000000" w:rsidRPr="00000000" w14:paraId="0000009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15ª edição</w:t>
            </w:r>
          </w:p>
        </w:tc>
        <w:tc>
          <w:tcPr>
            <w:shd w:fill="auto" w:val="clear"/>
            <w:vAlign w:val="bottom"/>
          </w:tcPr>
          <w:p w:rsidR="00000000" w:rsidDel="00000000" w:rsidP="00000000" w:rsidRDefault="00000000" w:rsidRPr="00000000" w14:paraId="000000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9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Panambi</w:t>
            </w:r>
          </w:p>
        </w:tc>
      </w:tr>
      <w:tr>
        <w:trPr>
          <w:trHeight w:val="240" w:hRule="atLeast"/>
        </w:trPr>
        <w:tc>
          <w:tcPr>
            <w:shd w:fill="auto" w:val="clear"/>
            <w:vAlign w:val="bottom"/>
          </w:tcPr>
          <w:p w:rsidR="00000000" w:rsidDel="00000000" w:rsidP="00000000" w:rsidRDefault="00000000" w:rsidRPr="00000000" w14:paraId="0000009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16ª edição</w:t>
            </w:r>
          </w:p>
        </w:tc>
        <w:tc>
          <w:tcPr>
            <w:shd w:fill="auto" w:val="clear"/>
            <w:vAlign w:val="bottom"/>
          </w:tcPr>
          <w:p w:rsidR="00000000" w:rsidDel="00000000" w:rsidP="00000000" w:rsidRDefault="00000000" w:rsidRPr="00000000" w14:paraId="0000009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A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A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Bandagens Funcionais – 2ª edição</w:t>
            </w:r>
          </w:p>
        </w:tc>
        <w:tc>
          <w:tcPr>
            <w:shd w:fill="auto" w:val="clear"/>
            <w:vAlign w:val="bottom"/>
          </w:tcPr>
          <w:p w:rsidR="00000000" w:rsidDel="00000000" w:rsidP="00000000" w:rsidRDefault="00000000" w:rsidRPr="00000000" w14:paraId="000000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A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A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Coleta e processamento de amostras biológicas – 1ª edição</w:t>
            </w:r>
          </w:p>
        </w:tc>
        <w:tc>
          <w:tcPr>
            <w:shd w:fill="auto" w:val="clear"/>
            <w:vAlign w:val="bottom"/>
          </w:tcPr>
          <w:p w:rsidR="00000000" w:rsidDel="00000000" w:rsidP="00000000" w:rsidRDefault="00000000" w:rsidRPr="00000000" w14:paraId="000000A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A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A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Comentário Esportivo no Rádio: teoria e iniciação prática na era da convergência – 1ª edição</w:t>
            </w:r>
          </w:p>
        </w:tc>
        <w:tc>
          <w:tcPr>
            <w:shd w:fill="auto" w:val="clear"/>
            <w:vAlign w:val="bottom"/>
          </w:tcPr>
          <w:p w:rsidR="00000000" w:rsidDel="00000000" w:rsidP="00000000" w:rsidRDefault="00000000" w:rsidRPr="00000000" w14:paraId="000000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A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A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Controle de Infecção em UTI – 1ª edição</w:t>
            </w:r>
          </w:p>
        </w:tc>
        <w:tc>
          <w:tcPr>
            <w:shd w:fill="auto" w:val="clear"/>
            <w:vAlign w:val="bottom"/>
          </w:tcPr>
          <w:p w:rsidR="00000000" w:rsidDel="00000000" w:rsidP="00000000" w:rsidRDefault="00000000" w:rsidRPr="00000000" w14:paraId="000000A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A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A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Desordens da articulação temporomandibular e tratamento fisioterapêutico – 1ª edição</w:t>
            </w:r>
          </w:p>
        </w:tc>
        <w:tc>
          <w:tcPr>
            <w:shd w:fill="auto" w:val="clear"/>
            <w:vAlign w:val="bottom"/>
          </w:tcPr>
          <w:p w:rsidR="00000000" w:rsidDel="00000000" w:rsidP="00000000" w:rsidRDefault="00000000" w:rsidRPr="00000000" w14:paraId="000000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A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Excel Avançado – 4ª edição</w:t>
            </w:r>
          </w:p>
        </w:tc>
        <w:tc>
          <w:tcPr>
            <w:shd w:fill="auto" w:val="clear"/>
            <w:vAlign w:val="bottom"/>
          </w:tcPr>
          <w:p w:rsidR="00000000" w:rsidDel="00000000" w:rsidP="00000000" w:rsidRDefault="00000000" w:rsidRPr="00000000" w14:paraId="000000B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B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Excel Avançado – 3ª edição</w:t>
            </w:r>
          </w:p>
        </w:tc>
        <w:tc>
          <w:tcPr>
            <w:shd w:fill="auto" w:val="clear"/>
            <w:vAlign w:val="bottom"/>
          </w:tcPr>
          <w:p w:rsidR="00000000" w:rsidDel="00000000" w:rsidP="00000000" w:rsidRDefault="00000000" w:rsidRPr="00000000" w14:paraId="000000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B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aplicada a lesões desportivas – 1ª edição </w:t>
            </w:r>
          </w:p>
        </w:tc>
        <w:tc>
          <w:tcPr>
            <w:shd w:fill="auto" w:val="clear"/>
            <w:vAlign w:val="bottom"/>
          </w:tcPr>
          <w:p w:rsidR="00000000" w:rsidDel="00000000" w:rsidP="00000000" w:rsidRDefault="00000000" w:rsidRPr="00000000" w14:paraId="000000B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B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na Ortopedia e Traumatologia coluna vertebral – 1ª edição</w:t>
            </w:r>
          </w:p>
        </w:tc>
        <w:tc>
          <w:tcPr>
            <w:shd w:fill="auto" w:val="clear"/>
            <w:vAlign w:val="bottom"/>
          </w:tcPr>
          <w:p w:rsidR="00000000" w:rsidDel="00000000" w:rsidP="00000000" w:rsidRDefault="00000000" w:rsidRPr="00000000" w14:paraId="000000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B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na Ortopedia e Traumatologia membro inferior – 1ª edição</w:t>
            </w:r>
          </w:p>
        </w:tc>
        <w:tc>
          <w:tcPr>
            <w:shd w:fill="auto" w:val="clear"/>
            <w:vAlign w:val="bottom"/>
          </w:tcPr>
          <w:p w:rsidR="00000000" w:rsidDel="00000000" w:rsidP="00000000" w:rsidRDefault="00000000" w:rsidRPr="00000000" w14:paraId="000000B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B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B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Fisioterapia na Ortopedia e Traumatologia traumas – 1ª edição</w:t>
            </w:r>
          </w:p>
        </w:tc>
        <w:tc>
          <w:tcPr>
            <w:shd w:fill="auto" w:val="clear"/>
            <w:vAlign w:val="bottom"/>
          </w:tcPr>
          <w:p w:rsidR="00000000" w:rsidDel="00000000" w:rsidP="00000000" w:rsidRDefault="00000000" w:rsidRPr="00000000" w14:paraId="000000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C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C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Instrutor de Trânsito – 30ª edição</w:t>
            </w:r>
          </w:p>
        </w:tc>
        <w:tc>
          <w:tcPr>
            <w:shd w:fill="auto" w:val="clear"/>
            <w:vAlign w:val="bottom"/>
          </w:tcPr>
          <w:p w:rsidR="00000000" w:rsidDel="00000000" w:rsidP="00000000" w:rsidRDefault="00000000" w:rsidRPr="00000000" w14:paraId="000000C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C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C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Formação em Coaching e Mentoring</w:t>
            </w:r>
          </w:p>
        </w:tc>
        <w:tc>
          <w:tcPr>
            <w:shd w:fill="auto" w:val="clear"/>
            <w:vAlign w:val="bottom"/>
          </w:tcPr>
          <w:p w:rsidR="00000000" w:rsidDel="00000000" w:rsidP="00000000" w:rsidRDefault="00000000" w:rsidRPr="00000000" w14:paraId="000000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C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rPr>
          <w:trHeight w:val="240" w:hRule="atLeast"/>
        </w:trPr>
        <w:tc>
          <w:tcPr>
            <w:shd w:fill="auto" w:val="clear"/>
            <w:vAlign w:val="bottom"/>
          </w:tcPr>
          <w:p w:rsidR="00000000" w:rsidDel="00000000" w:rsidP="00000000" w:rsidRDefault="00000000" w:rsidRPr="00000000" w14:paraId="000000C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Gestão de Vendas</w:t>
            </w:r>
          </w:p>
        </w:tc>
        <w:tc>
          <w:tcPr>
            <w:shd w:fill="auto" w:val="clear"/>
            <w:vAlign w:val="bottom"/>
          </w:tcPr>
          <w:p w:rsidR="00000000" w:rsidDel="00000000" w:rsidP="00000000" w:rsidRDefault="00000000" w:rsidRPr="00000000" w14:paraId="000000C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C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C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Inglês – Voxy – 4ª edição</w:t>
            </w:r>
          </w:p>
        </w:tc>
        <w:tc>
          <w:tcPr>
            <w:shd w:fill="auto" w:val="clear"/>
            <w:vAlign w:val="bottom"/>
          </w:tcPr>
          <w:p w:rsidR="00000000" w:rsidDel="00000000" w:rsidP="00000000" w:rsidRDefault="00000000" w:rsidRPr="00000000" w14:paraId="000000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0C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C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Inglês no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 nível I</w:t>
            </w:r>
          </w:p>
        </w:tc>
        <w:tc>
          <w:tcPr>
            <w:shd w:fill="auto" w:val="clear"/>
            <w:vAlign w:val="bottom"/>
          </w:tcPr>
          <w:p w:rsidR="00000000" w:rsidDel="00000000" w:rsidP="00000000" w:rsidRDefault="00000000" w:rsidRPr="00000000" w14:paraId="000000C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D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D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Inglês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 Nível II</w:t>
            </w:r>
          </w:p>
        </w:tc>
        <w:tc>
          <w:tcPr>
            <w:shd w:fill="auto" w:val="clear"/>
            <w:vAlign w:val="bottom"/>
          </w:tcPr>
          <w:p w:rsidR="00000000" w:rsidDel="00000000" w:rsidP="00000000" w:rsidRDefault="00000000" w:rsidRPr="00000000" w14:paraId="000000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D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D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Inglês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 Nível III</w:t>
            </w:r>
          </w:p>
        </w:tc>
        <w:tc>
          <w:tcPr>
            <w:shd w:fill="auto" w:val="clear"/>
            <w:vAlign w:val="bottom"/>
          </w:tcPr>
          <w:p w:rsidR="00000000" w:rsidDel="00000000" w:rsidP="00000000" w:rsidRDefault="00000000" w:rsidRPr="00000000" w14:paraId="000000D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D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D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Inseminação Artificial em Bovinos – 2ª edição</w:t>
            </w:r>
          </w:p>
        </w:tc>
        <w:tc>
          <w:tcPr>
            <w:shd w:fill="auto" w:val="clear"/>
            <w:vAlign w:val="bottom"/>
          </w:tcPr>
          <w:p w:rsidR="00000000" w:rsidDel="00000000" w:rsidP="00000000" w:rsidRDefault="00000000" w:rsidRPr="00000000" w14:paraId="000000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D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D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Instrumentação Cirúrgica</w:t>
            </w:r>
          </w:p>
        </w:tc>
        <w:tc>
          <w:tcPr>
            <w:shd w:fill="auto" w:val="clear"/>
            <w:vAlign w:val="bottom"/>
          </w:tcPr>
          <w:p w:rsidR="00000000" w:rsidDel="00000000" w:rsidP="00000000" w:rsidRDefault="00000000" w:rsidRPr="00000000" w14:paraId="000000D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EFA</w:t>
            </w:r>
          </w:p>
        </w:tc>
        <w:tc>
          <w:tcPr>
            <w:shd w:fill="auto" w:val="clear"/>
            <w:vAlign w:val="bottom"/>
          </w:tcPr>
          <w:p w:rsidR="00000000" w:rsidDel="00000000" w:rsidP="00000000" w:rsidRDefault="00000000" w:rsidRPr="00000000" w14:paraId="000000D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r>
      <w:tr>
        <w:trPr>
          <w:trHeight w:val="240" w:hRule="atLeast"/>
        </w:trPr>
        <w:tc>
          <w:tcPr>
            <w:shd w:fill="auto" w:val="clear"/>
            <w:vAlign w:val="bottom"/>
          </w:tcPr>
          <w:p w:rsidR="00000000" w:rsidDel="00000000" w:rsidP="00000000" w:rsidRDefault="00000000" w:rsidRPr="00000000" w14:paraId="000000D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Intensivo de Radiologia em Cães e Gatos – 1ª edição</w:t>
            </w:r>
          </w:p>
        </w:tc>
        <w:tc>
          <w:tcPr>
            <w:shd w:fill="auto" w:val="clear"/>
            <w:vAlign w:val="bottom"/>
          </w:tcPr>
          <w:p w:rsidR="00000000" w:rsidDel="00000000" w:rsidP="00000000" w:rsidRDefault="00000000" w:rsidRPr="00000000" w14:paraId="000000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D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Intensivo em Radiologia de Cães e Gatos – 2ª edição</w:t>
            </w:r>
          </w:p>
        </w:tc>
        <w:tc>
          <w:tcPr>
            <w:shd w:fill="auto" w:val="clear"/>
            <w:vAlign w:val="bottom"/>
          </w:tcPr>
          <w:p w:rsidR="00000000" w:rsidDel="00000000" w:rsidP="00000000" w:rsidRDefault="00000000" w:rsidRPr="00000000" w14:paraId="000000E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0E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Leitura em língua inglesa em contextos acadêmicos – 16ª edição</w:t>
            </w:r>
          </w:p>
        </w:tc>
        <w:tc>
          <w:tcPr>
            <w:shd w:fill="auto" w:val="clear"/>
            <w:vAlign w:val="bottom"/>
          </w:tcPr>
          <w:p w:rsidR="00000000" w:rsidDel="00000000" w:rsidP="00000000" w:rsidRDefault="00000000" w:rsidRPr="00000000" w14:paraId="000000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E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Marketing Estratégico</w:t>
            </w:r>
          </w:p>
        </w:tc>
        <w:tc>
          <w:tcPr>
            <w:shd w:fill="auto" w:val="clear"/>
            <w:vAlign w:val="bottom"/>
          </w:tcPr>
          <w:p w:rsidR="00000000" w:rsidDel="00000000" w:rsidP="00000000" w:rsidRDefault="00000000" w:rsidRPr="00000000" w14:paraId="000000E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E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Pesquisa de Marketing</w:t>
            </w:r>
          </w:p>
        </w:tc>
        <w:tc>
          <w:tcPr>
            <w:shd w:fill="auto" w:val="clear"/>
            <w:vAlign w:val="bottom"/>
          </w:tcPr>
          <w:p w:rsidR="00000000" w:rsidDel="00000000" w:rsidP="00000000" w:rsidRDefault="00000000" w:rsidRPr="00000000" w14:paraId="000000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E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Prática em Auriculoterapia – 3ª edição</w:t>
            </w:r>
          </w:p>
        </w:tc>
        <w:tc>
          <w:tcPr>
            <w:shd w:fill="auto" w:val="clear"/>
            <w:vAlign w:val="bottom"/>
          </w:tcPr>
          <w:p w:rsidR="00000000" w:rsidDel="00000000" w:rsidP="00000000" w:rsidRDefault="00000000" w:rsidRPr="00000000" w14:paraId="000000E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0E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E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Preenchimento da Declaração de IRPF – 3ª edição</w:t>
            </w:r>
          </w:p>
        </w:tc>
        <w:tc>
          <w:tcPr>
            <w:shd w:fill="auto" w:val="clear"/>
            <w:vAlign w:val="bottom"/>
          </w:tcPr>
          <w:p w:rsidR="00000000" w:rsidDel="00000000" w:rsidP="00000000" w:rsidRDefault="00000000" w:rsidRPr="00000000" w14:paraId="000000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0F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F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Processo Administrativo Previdenciário</w:t>
            </w:r>
          </w:p>
        </w:tc>
        <w:tc>
          <w:tcPr>
            <w:shd w:fill="auto" w:val="clear"/>
            <w:vAlign w:val="bottom"/>
          </w:tcPr>
          <w:p w:rsidR="00000000" w:rsidDel="00000000" w:rsidP="00000000" w:rsidRDefault="00000000" w:rsidRPr="00000000" w14:paraId="000000F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F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F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Processo Judicial Previdenciário</w:t>
            </w:r>
          </w:p>
        </w:tc>
        <w:tc>
          <w:tcPr>
            <w:shd w:fill="auto" w:val="clear"/>
            <w:vAlign w:val="bottom"/>
          </w:tcPr>
          <w:p w:rsidR="00000000" w:rsidDel="00000000" w:rsidP="00000000" w:rsidRDefault="00000000" w:rsidRPr="00000000" w14:paraId="000000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DCJS</w:t>
            </w:r>
          </w:p>
        </w:tc>
        <w:tc>
          <w:tcPr>
            <w:shd w:fill="auto" w:val="clear"/>
            <w:vAlign w:val="bottom"/>
          </w:tcPr>
          <w:p w:rsidR="00000000" w:rsidDel="00000000" w:rsidP="00000000" w:rsidRDefault="00000000" w:rsidRPr="00000000" w14:paraId="000000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F8">
            <w:pPr>
              <w:spacing w:after="40" w:before="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Prova de proficiência em língua estrangeira: Língua Espanhola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1ª edição</w:t>
            </w:r>
          </w:p>
        </w:tc>
        <w:tc>
          <w:tcPr>
            <w:shd w:fill="auto" w:val="clear"/>
            <w:vAlign w:val="bottom"/>
          </w:tcPr>
          <w:p w:rsidR="00000000" w:rsidDel="00000000" w:rsidP="00000000" w:rsidRDefault="00000000" w:rsidRPr="00000000" w14:paraId="000000F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F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F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Prova de proficiência em língua estrangeira: Língua Inglesa – 18ª edição</w:t>
            </w:r>
          </w:p>
        </w:tc>
        <w:tc>
          <w:tcPr>
            <w:shd w:fill="auto" w:val="clear"/>
            <w:vAlign w:val="bottom"/>
          </w:tcPr>
          <w:p w:rsidR="00000000" w:rsidDel="00000000" w:rsidP="00000000" w:rsidRDefault="00000000" w:rsidRPr="00000000" w14:paraId="000000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0F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0F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Prova de proficiência em língua estrangeira: Língua Inglesa – 19ª edição</w:t>
            </w:r>
          </w:p>
        </w:tc>
        <w:tc>
          <w:tcPr>
            <w:shd w:fill="auto" w:val="clear"/>
            <w:vAlign w:val="bottom"/>
          </w:tcPr>
          <w:p w:rsidR="00000000" w:rsidDel="00000000" w:rsidP="00000000" w:rsidRDefault="00000000" w:rsidRPr="00000000" w14:paraId="000000F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10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0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Prova de proficiência em língua estrangeira: Língua Inglesa – 20ª edição</w:t>
            </w:r>
          </w:p>
        </w:tc>
        <w:tc>
          <w:tcPr>
            <w:shd w:fill="auto" w:val="clear"/>
            <w:vAlign w:val="bottom"/>
          </w:tcPr>
          <w:p w:rsidR="00000000" w:rsidDel="00000000" w:rsidP="00000000" w:rsidRDefault="00000000" w:rsidRPr="00000000" w14:paraId="000001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bottom"/>
          </w:tcPr>
          <w:p w:rsidR="00000000" w:rsidDel="00000000" w:rsidP="00000000" w:rsidRDefault="00000000" w:rsidRPr="00000000" w14:paraId="0000010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0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Redação Científica</w:t>
            </w:r>
          </w:p>
        </w:tc>
        <w:tc>
          <w:tcPr>
            <w:shd w:fill="auto" w:val="clear"/>
            <w:vAlign w:val="bottom"/>
          </w:tcPr>
          <w:p w:rsidR="00000000" w:rsidDel="00000000" w:rsidP="00000000" w:rsidRDefault="00000000" w:rsidRPr="00000000" w14:paraId="0000010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10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0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Terapias em SPA – 1ª edição</w:t>
            </w:r>
          </w:p>
        </w:tc>
        <w:tc>
          <w:tcPr>
            <w:shd w:fill="auto" w:val="clear"/>
            <w:vAlign w:val="bottom"/>
          </w:tcPr>
          <w:p w:rsidR="00000000" w:rsidDel="00000000" w:rsidP="00000000" w:rsidRDefault="00000000" w:rsidRPr="00000000" w14:paraId="000001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10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0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Toxicologia Forense – Aspectos legais e métodos analíticos</w:t>
            </w:r>
          </w:p>
        </w:tc>
        <w:tc>
          <w:tcPr>
            <w:shd w:fill="auto" w:val="clear"/>
            <w:vAlign w:val="bottom"/>
          </w:tcPr>
          <w:p w:rsidR="00000000" w:rsidDel="00000000" w:rsidP="00000000" w:rsidRDefault="00000000" w:rsidRPr="00000000" w14:paraId="0000010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10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gridSpan w:val="3"/>
            <w:shd w:fill="d9d9d9" w:val="clear"/>
            <w:vAlign w:val="center"/>
          </w:tcPr>
          <w:p w:rsidR="00000000" w:rsidDel="00000000" w:rsidP="00000000" w:rsidRDefault="00000000" w:rsidRPr="00000000" w14:paraId="0000010D">
            <w:pPr>
              <w:spacing w:after="40" w:before="40" w:lineRule="auto"/>
              <w:jc w:val="cente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Não Efetivados</w:t>
            </w:r>
            <w:r w:rsidDel="00000000" w:rsidR="00000000" w:rsidRPr="00000000">
              <w:rPr>
                <w:rtl w:val="0"/>
              </w:rPr>
            </w:r>
          </w:p>
        </w:tc>
      </w:tr>
      <w:tr>
        <w:trPr>
          <w:trHeight w:val="240" w:hRule="atLeast"/>
        </w:trPr>
        <w:tc>
          <w:tcPr>
            <w:shd w:fill="auto" w:val="clear"/>
            <w:vAlign w:val="bottom"/>
          </w:tcPr>
          <w:p w:rsidR="00000000" w:rsidDel="00000000" w:rsidP="00000000" w:rsidRDefault="00000000" w:rsidRPr="00000000" w14:paraId="0000011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17ª edição</w:t>
            </w:r>
          </w:p>
        </w:tc>
        <w:tc>
          <w:tcPr>
            <w:shd w:fill="auto" w:val="clear"/>
            <w:vAlign w:val="bottom"/>
          </w:tcPr>
          <w:p w:rsidR="00000000" w:rsidDel="00000000" w:rsidP="00000000" w:rsidRDefault="00000000" w:rsidRPr="00000000" w14:paraId="0000011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11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r>
      <w:tr>
        <w:trPr>
          <w:trHeight w:val="240" w:hRule="atLeast"/>
        </w:trPr>
        <w:tc>
          <w:tcPr>
            <w:shd w:fill="auto" w:val="clear"/>
            <w:vAlign w:val="bottom"/>
          </w:tcPr>
          <w:p w:rsidR="00000000" w:rsidDel="00000000" w:rsidP="00000000" w:rsidRDefault="00000000" w:rsidRPr="00000000" w14:paraId="0000011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de Instrutor de Trânsito – 18ª edição</w:t>
            </w:r>
          </w:p>
        </w:tc>
        <w:tc>
          <w:tcPr>
            <w:shd w:fill="auto" w:val="clear"/>
            <w:vAlign w:val="bottom"/>
          </w:tcPr>
          <w:p w:rsidR="00000000" w:rsidDel="00000000" w:rsidP="00000000" w:rsidRDefault="00000000" w:rsidRPr="00000000" w14:paraId="000001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11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rPr>
          <w:trHeight w:val="240" w:hRule="atLeast"/>
        </w:trPr>
        <w:tc>
          <w:tcPr>
            <w:shd w:fill="auto" w:val="clear"/>
            <w:vAlign w:val="bottom"/>
          </w:tcPr>
          <w:p w:rsidR="00000000" w:rsidDel="00000000" w:rsidP="00000000" w:rsidRDefault="00000000" w:rsidRPr="00000000" w14:paraId="0000011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Cálculos Financeiros com a Utilização da HP-</w:t>
            </w:r>
            <w:r w:rsidDel="00000000" w:rsidR="00000000" w:rsidRPr="00000000">
              <w:rPr>
                <w:rFonts w:ascii="Arial" w:cs="Arial" w:eastAsia="Arial" w:hAnsi="Arial"/>
                <w:sz w:val="20"/>
                <w:szCs w:val="20"/>
                <w:rtl w:val="0"/>
              </w:rPr>
              <w:t xml:space="preserve">12 C</w:t>
            </w:r>
            <w:r w:rsidDel="00000000" w:rsidR="00000000" w:rsidRPr="00000000">
              <w:rPr>
                <w:rFonts w:ascii="Arial" w:cs="Arial" w:eastAsia="Arial" w:hAnsi="Arial"/>
                <w:sz w:val="20"/>
                <w:szCs w:val="20"/>
                <w:rtl w:val="0"/>
              </w:rPr>
              <w:t xml:space="preserve"> – 3ª edição</w:t>
            </w:r>
          </w:p>
        </w:tc>
        <w:tc>
          <w:tcPr>
            <w:shd w:fill="auto" w:val="clear"/>
            <w:vAlign w:val="bottom"/>
          </w:tcPr>
          <w:p w:rsidR="00000000" w:rsidDel="00000000" w:rsidP="00000000" w:rsidRDefault="00000000" w:rsidRPr="00000000" w14:paraId="0000011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11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1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em Boas Práticas para Serviços de Alimentação – 5ª edição</w:t>
            </w:r>
          </w:p>
        </w:tc>
        <w:tc>
          <w:tcPr>
            <w:shd w:fill="auto" w:val="clear"/>
            <w:vAlign w:val="bottom"/>
          </w:tcPr>
          <w:p w:rsidR="00000000" w:rsidDel="00000000" w:rsidP="00000000" w:rsidRDefault="00000000" w:rsidRPr="00000000" w14:paraId="000001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11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1C">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Dimensionamento de Estruturas com Perfis de Aço </w:t>
            </w:r>
            <w:r w:rsidDel="00000000" w:rsidR="00000000" w:rsidRPr="00000000">
              <w:rPr>
                <w:rFonts w:ascii="Arial" w:cs="Arial" w:eastAsia="Arial" w:hAnsi="Arial"/>
                <w:sz w:val="20"/>
                <w:szCs w:val="20"/>
                <w:rtl w:val="0"/>
              </w:rPr>
              <w:t xml:space="preserve">Foemado</w:t>
            </w:r>
            <w:r w:rsidDel="00000000" w:rsidR="00000000" w:rsidRPr="00000000">
              <w:rPr>
                <w:rFonts w:ascii="Arial" w:cs="Arial" w:eastAsia="Arial" w:hAnsi="Arial"/>
                <w:sz w:val="20"/>
                <w:szCs w:val="20"/>
                <w:rtl w:val="0"/>
              </w:rPr>
              <w:t xml:space="preserve"> a Fio – 2ª edição</w:t>
            </w:r>
          </w:p>
        </w:tc>
        <w:tc>
          <w:tcPr>
            <w:shd w:fill="auto" w:val="clear"/>
            <w:vAlign w:val="bottom"/>
          </w:tcPr>
          <w:p w:rsidR="00000000" w:rsidDel="00000000" w:rsidP="00000000" w:rsidRDefault="00000000" w:rsidRPr="00000000" w14:paraId="0000011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DCEEng</w:t>
            </w:r>
          </w:p>
        </w:tc>
        <w:tc>
          <w:tcPr>
            <w:shd w:fill="auto" w:val="clear"/>
            <w:vAlign w:val="bottom"/>
          </w:tcPr>
          <w:p w:rsidR="00000000" w:rsidDel="00000000" w:rsidP="00000000" w:rsidRDefault="00000000" w:rsidRPr="00000000" w14:paraId="0000011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r>
      <w:tr>
        <w:trPr>
          <w:trHeight w:val="240" w:hRule="atLeast"/>
        </w:trPr>
        <w:tc>
          <w:tcPr>
            <w:shd w:fill="auto" w:val="clear"/>
            <w:vAlign w:val="bottom"/>
          </w:tcPr>
          <w:p w:rsidR="00000000" w:rsidDel="00000000" w:rsidP="00000000" w:rsidRDefault="00000000" w:rsidRPr="00000000" w14:paraId="000001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Examinador de Trânsito – 18ª edição</w:t>
            </w:r>
          </w:p>
        </w:tc>
        <w:tc>
          <w:tcPr>
            <w:shd w:fill="auto" w:val="clear"/>
            <w:vAlign w:val="bottom"/>
          </w:tcPr>
          <w:p w:rsidR="00000000" w:rsidDel="00000000" w:rsidP="00000000" w:rsidRDefault="00000000" w:rsidRPr="00000000" w14:paraId="000001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bottom"/>
          </w:tcPr>
          <w:p w:rsidR="00000000" w:rsidDel="00000000" w:rsidP="00000000" w:rsidRDefault="00000000" w:rsidRPr="00000000" w14:paraId="000001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2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Excel Básico – 3ª Edição </w:t>
            </w:r>
          </w:p>
        </w:tc>
        <w:tc>
          <w:tcPr>
            <w:shd w:fill="auto" w:val="clear"/>
            <w:vAlign w:val="bottom"/>
          </w:tcPr>
          <w:p w:rsidR="00000000" w:rsidDel="00000000" w:rsidP="00000000" w:rsidRDefault="00000000" w:rsidRPr="00000000" w14:paraId="0000012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12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Farmacêutico clínico: atendendo idosos – 1ª Edição</w:t>
            </w:r>
          </w:p>
        </w:tc>
        <w:tc>
          <w:tcPr>
            <w:shd w:fill="auto" w:val="clear"/>
            <w:vAlign w:val="bottom"/>
          </w:tcPr>
          <w:p w:rsidR="00000000" w:rsidDel="00000000" w:rsidP="00000000" w:rsidRDefault="00000000" w:rsidRPr="00000000" w14:paraId="000001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1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28">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Gerenciamento de Projetos: Uma Competência Estratégica – 3ª edição</w:t>
            </w:r>
          </w:p>
        </w:tc>
        <w:tc>
          <w:tcPr>
            <w:shd w:fill="auto" w:val="clear"/>
            <w:vAlign w:val="bottom"/>
          </w:tcPr>
          <w:p w:rsidR="00000000" w:rsidDel="00000000" w:rsidP="00000000" w:rsidRDefault="00000000" w:rsidRPr="00000000" w14:paraId="0000012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DCEEng</w:t>
            </w:r>
          </w:p>
        </w:tc>
        <w:tc>
          <w:tcPr>
            <w:shd w:fill="auto" w:val="clear"/>
            <w:vAlign w:val="bottom"/>
          </w:tcPr>
          <w:p w:rsidR="00000000" w:rsidDel="00000000" w:rsidP="00000000" w:rsidRDefault="00000000" w:rsidRPr="00000000" w14:paraId="0000012A">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Inseminação Artificial em Bovinos – 2ª edição</w:t>
            </w:r>
          </w:p>
        </w:tc>
        <w:tc>
          <w:tcPr>
            <w:shd w:fill="auto" w:val="clear"/>
            <w:vAlign w:val="bottom"/>
          </w:tcPr>
          <w:p w:rsidR="00000000" w:rsidDel="00000000" w:rsidP="00000000" w:rsidRDefault="00000000" w:rsidRPr="00000000" w14:paraId="000001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1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2E">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Intensivo de Marketing Digital e Gestão de Redes Sociais – 1ª edição</w:t>
            </w:r>
          </w:p>
        </w:tc>
        <w:tc>
          <w:tcPr>
            <w:shd w:fill="auto" w:val="clear"/>
            <w:vAlign w:val="bottom"/>
          </w:tcPr>
          <w:p w:rsidR="00000000" w:rsidDel="00000000" w:rsidP="00000000" w:rsidRDefault="00000000" w:rsidRPr="00000000" w14:paraId="0000012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13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Narração Esportiva no Rádio – 1ª edição</w:t>
            </w:r>
          </w:p>
        </w:tc>
        <w:tc>
          <w:tcPr>
            <w:shd w:fill="auto" w:val="clear"/>
            <w:vAlign w:val="bottom"/>
          </w:tcPr>
          <w:p w:rsidR="00000000" w:rsidDel="00000000" w:rsidP="00000000" w:rsidRDefault="00000000" w:rsidRPr="00000000" w14:paraId="000001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bottom"/>
          </w:tcPr>
          <w:p w:rsidR="00000000" w:rsidDel="00000000" w:rsidP="00000000" w:rsidRDefault="00000000" w:rsidRPr="00000000" w14:paraId="000001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3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Nutrição Aplicada a Bovinos de Leite – 1ª edição</w:t>
            </w:r>
          </w:p>
        </w:tc>
        <w:tc>
          <w:tcPr>
            <w:shd w:fill="auto" w:val="clear"/>
            <w:vAlign w:val="bottom"/>
          </w:tcPr>
          <w:p w:rsidR="00000000" w:rsidDel="00000000" w:rsidP="00000000" w:rsidRDefault="00000000" w:rsidRPr="00000000" w14:paraId="0000013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DEAg</w:t>
            </w:r>
          </w:p>
        </w:tc>
        <w:tc>
          <w:tcPr>
            <w:shd w:fill="auto" w:val="clear"/>
            <w:vAlign w:val="bottom"/>
          </w:tcPr>
          <w:p w:rsidR="00000000" w:rsidDel="00000000" w:rsidP="00000000" w:rsidRDefault="00000000" w:rsidRPr="00000000" w14:paraId="00000136">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Suporte Avançado de Vida em Cardiologia – ACLS - 2ª edição</w:t>
            </w:r>
          </w:p>
        </w:tc>
        <w:tc>
          <w:tcPr>
            <w:shd w:fill="auto" w:val="clear"/>
            <w:vAlign w:val="bottom"/>
          </w:tcPr>
          <w:p w:rsidR="00000000" w:rsidDel="00000000" w:rsidP="00000000" w:rsidRDefault="00000000" w:rsidRPr="00000000" w14:paraId="000001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w:t>
            </w:r>
          </w:p>
        </w:tc>
        <w:tc>
          <w:tcPr>
            <w:shd w:fill="auto" w:val="clear"/>
            <w:vAlign w:val="bottom"/>
          </w:tcPr>
          <w:p w:rsidR="00000000" w:rsidDel="00000000" w:rsidP="00000000" w:rsidRDefault="00000000" w:rsidRPr="00000000" w14:paraId="000001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gridSpan w:val="3"/>
            <w:shd w:fill="d9d9d9" w:val="clear"/>
            <w:vAlign w:val="center"/>
          </w:tcPr>
          <w:p w:rsidR="00000000" w:rsidDel="00000000" w:rsidP="00000000" w:rsidRDefault="00000000" w:rsidRPr="00000000" w14:paraId="000001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Prorrogados para 2019</w:t>
            </w:r>
          </w:p>
        </w:tc>
      </w:tr>
      <w:tr>
        <w:trPr>
          <w:trHeight w:val="240" w:hRule="atLeast"/>
        </w:trPr>
        <w:tc>
          <w:tcPr>
            <w:shd w:fill="auto" w:val="clear"/>
            <w:vAlign w:val="bottom"/>
          </w:tcPr>
          <w:p w:rsidR="00000000" w:rsidDel="00000000" w:rsidP="00000000" w:rsidRDefault="00000000" w:rsidRPr="00000000" w14:paraId="0000013D">
            <w:pPr>
              <w:spacing w:after="40" w:before="40"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Atualização de Diretor de Ensino – 1ª edição</w:t>
            </w:r>
          </w:p>
        </w:tc>
        <w:tc>
          <w:tcPr>
            <w:shd w:fill="auto" w:val="clear"/>
            <w:vAlign w:val="bottom"/>
          </w:tcPr>
          <w:p w:rsidR="00000000" w:rsidDel="00000000" w:rsidP="00000000" w:rsidRDefault="00000000" w:rsidRPr="00000000" w14:paraId="000001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e UEC</w:t>
            </w:r>
          </w:p>
        </w:tc>
        <w:tc>
          <w:tcPr>
            <w:shd w:fill="auto" w:val="clear"/>
            <w:vAlign w:val="center"/>
          </w:tcPr>
          <w:p w:rsidR="00000000" w:rsidDel="00000000" w:rsidP="00000000" w:rsidRDefault="00000000" w:rsidRPr="00000000" w14:paraId="000001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4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Leitura em língua inglesa em contextos acadêmicos – 17ª edição</w:t>
            </w:r>
          </w:p>
        </w:tc>
        <w:tc>
          <w:tcPr>
            <w:shd w:fill="auto" w:val="clear"/>
            <w:vAlign w:val="bottom"/>
          </w:tcPr>
          <w:p w:rsidR="00000000" w:rsidDel="00000000" w:rsidP="00000000" w:rsidRDefault="00000000" w:rsidRPr="00000000" w14:paraId="0000014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DHE</w:t>
            </w:r>
          </w:p>
        </w:tc>
        <w:tc>
          <w:tcPr>
            <w:shd w:fill="auto" w:val="clear"/>
            <w:vAlign w:val="center"/>
          </w:tcPr>
          <w:p w:rsidR="00000000" w:rsidDel="00000000" w:rsidP="00000000" w:rsidRDefault="00000000" w:rsidRPr="00000000" w14:paraId="00000142">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shd w:fill="auto" w:val="clear"/>
            <w:vAlign w:val="bottom"/>
          </w:tcPr>
          <w:p w:rsidR="00000000" w:rsidDel="00000000" w:rsidP="00000000" w:rsidRDefault="00000000" w:rsidRPr="00000000" w14:paraId="00000143">
            <w:pPr>
              <w:spacing w:after="40" w:before="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 para TV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1ª edição</w:t>
            </w:r>
          </w:p>
        </w:tc>
        <w:tc>
          <w:tcPr>
            <w:shd w:fill="auto" w:val="clear"/>
            <w:vAlign w:val="bottom"/>
          </w:tcPr>
          <w:p w:rsidR="00000000" w:rsidDel="00000000" w:rsidP="00000000" w:rsidRDefault="00000000" w:rsidRPr="00000000" w14:paraId="000001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DACEC</w:t>
            </w:r>
          </w:p>
        </w:tc>
        <w:tc>
          <w:tcPr>
            <w:shd w:fill="auto" w:val="clear"/>
            <w:vAlign w:val="center"/>
          </w:tcPr>
          <w:p w:rsidR="00000000" w:rsidDel="00000000" w:rsidP="00000000" w:rsidRDefault="00000000" w:rsidRPr="00000000" w14:paraId="000001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r>
      <w:tr>
        <w:trPr>
          <w:trHeight w:val="240" w:hRule="atLeast"/>
        </w:trPr>
        <w:tc>
          <w:tcPr>
            <w:gridSpan w:val="3"/>
            <w:shd w:fill="auto" w:val="clear"/>
            <w:vAlign w:val="bottom"/>
          </w:tcPr>
          <w:p w:rsidR="00000000" w:rsidDel="00000000" w:rsidP="00000000" w:rsidRDefault="00000000" w:rsidRPr="00000000" w14:paraId="00000146">
            <w:pPr>
              <w:widowControl w:val="0"/>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 cursos ofertados</w:t>
            </w:r>
          </w:p>
          <w:p w:rsidR="00000000" w:rsidDel="00000000" w:rsidP="00000000" w:rsidRDefault="00000000" w:rsidRPr="00000000" w14:paraId="00000147">
            <w:pPr>
              <w:widowControl w:val="0"/>
              <w:spacing w:after="40" w:before="40" w:lineRule="auto"/>
              <w:ind w:left="176"/>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 cursos efetivados</w:t>
            </w:r>
          </w:p>
          <w:p w:rsidR="00000000" w:rsidDel="00000000" w:rsidP="00000000" w:rsidRDefault="00000000" w:rsidRPr="00000000" w14:paraId="000001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cursos não efetivados</w:t>
            </w:r>
          </w:p>
          <w:p w:rsidR="00000000" w:rsidDel="00000000" w:rsidP="00000000" w:rsidRDefault="00000000" w:rsidRPr="00000000" w14:paraId="0000014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cursos prorrogados</w:t>
            </w:r>
          </w:p>
        </w:tc>
      </w:tr>
    </w:tbl>
    <w:p w:rsidR="00000000" w:rsidDel="00000000" w:rsidP="00000000" w:rsidRDefault="00000000" w:rsidRPr="00000000" w14:paraId="0000014C">
      <w:pPr>
        <w:spacing w:after="120" w:before="12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4D">
      <w:pPr>
        <w:spacing w:after="120" w:before="120" w:lineRule="auto"/>
        <w:ind w:left="-851" w:right="-695"/>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4E">
      <w:pPr>
        <w:spacing w:after="120" w:before="120" w:lineRule="auto"/>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4F">
      <w:pPr>
        <w:spacing w:after="120" w:before="120" w:lineRule="auto"/>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DADOS QUANTITATIVOS* </w:t>
      </w:r>
      <w:r w:rsidDel="00000000" w:rsidR="00000000" w:rsidRPr="00000000">
        <w:rPr>
          <w:rFonts w:ascii="Arial" w:cs="Arial" w:eastAsia="Arial" w:hAnsi="Arial"/>
          <w:i w:val="1"/>
          <w:sz w:val="20"/>
          <w:szCs w:val="20"/>
          <w:rtl w:val="0"/>
        </w:rPr>
        <w:t xml:space="preserve">– Campi </w:t>
      </w:r>
      <w:r w:rsidDel="00000000" w:rsidR="00000000" w:rsidRPr="00000000">
        <w:rPr>
          <w:rFonts w:ascii="Arial" w:cs="Arial" w:eastAsia="Arial" w:hAnsi="Arial"/>
          <w:sz w:val="20"/>
          <w:szCs w:val="20"/>
          <w:rtl w:val="0"/>
        </w:rPr>
        <w:t xml:space="preserve">Ijuí, Panambi, Santa Rosa e Três Passos</w:t>
      </w:r>
    </w:p>
    <w:tbl>
      <w:tblPr>
        <w:tblStyle w:val="Table3"/>
        <w:tblW w:w="7158.0" w:type="dxa"/>
        <w:jc w:val="center"/>
        <w:tblLayout w:type="fixed"/>
        <w:tblLook w:val="0400"/>
      </w:tblPr>
      <w:tblGrid>
        <w:gridCol w:w="4952"/>
        <w:gridCol w:w="2206"/>
        <w:tblGridChange w:id="0">
          <w:tblGrid>
            <w:gridCol w:w="4952"/>
            <w:gridCol w:w="2206"/>
          </w:tblGrid>
        </w:tblGridChange>
      </w:tblGrid>
      <w:tr>
        <w:trPr>
          <w:trHeight w:val="40" w:hRule="atLeast"/>
        </w:trPr>
        <w:tc>
          <w:tcPr>
            <w:gridSpan w:val="2"/>
            <w:tcBorders>
              <w:top w:color="000000" w:space="0" w:sz="8" w:val="single"/>
              <w:left w:color="000000" w:space="0" w:sz="8" w:val="single"/>
              <w:bottom w:color="000000" w:space="0" w:sz="8"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150">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Estudantes Matriculados</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w:t>
            </w:r>
            <w:r w:rsidDel="00000000" w:rsidR="00000000" w:rsidRPr="00000000">
              <w:rPr>
                <w:rFonts w:ascii="Arial" w:cs="Arial" w:eastAsia="Arial" w:hAnsi="Arial"/>
                <w:i w:val="1"/>
                <w:sz w:val="20"/>
                <w:szCs w:val="20"/>
                <w:rtl w:val="0"/>
              </w:rPr>
              <w:t xml:space="preserve">Lato Sensu</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315</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Qualificação Profissional</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934</w:t>
            </w:r>
          </w:p>
        </w:tc>
      </w:tr>
      <w:tr>
        <w:trPr>
          <w:trHeight w:val="40" w:hRule="atLeast"/>
        </w:trPr>
        <w:tc>
          <w:tcPr>
            <w:gridSpan w:val="2"/>
            <w:tcBorders>
              <w:top w:color="000000" w:space="0" w:sz="0" w:val="nil"/>
              <w:left w:color="000000" w:space="0" w:sz="8" w:val="single"/>
              <w:bottom w:color="000000" w:space="0" w:sz="8" w:val="single"/>
              <w:right w:color="000000" w:space="0" w:sz="8" w:val="single"/>
            </w:tcBorders>
            <w:shd w:fill="bfbfbf" w:val="clear"/>
            <w:tcMar>
              <w:top w:w="0.0" w:type="dxa"/>
              <w:left w:w="70.0" w:type="dxa"/>
              <w:bottom w:w="0.0" w:type="dxa"/>
              <w:right w:w="70.0" w:type="dxa"/>
            </w:tcMar>
            <w:vAlign w:val="center"/>
          </w:tcPr>
          <w:p w:rsidR="00000000" w:rsidDel="00000000" w:rsidP="00000000" w:rsidRDefault="00000000" w:rsidRPr="00000000" w14:paraId="00000156">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Documentos Emitidos</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Atestados diversos – </w:t>
            </w:r>
            <w:r w:rsidDel="00000000" w:rsidR="00000000" w:rsidRPr="00000000">
              <w:rPr>
                <w:rFonts w:ascii="Arial" w:cs="Arial" w:eastAsia="Arial" w:hAnsi="Arial"/>
                <w:i w:val="1"/>
                <w:sz w:val="20"/>
                <w:szCs w:val="20"/>
                <w:rtl w:val="0"/>
              </w:rPr>
              <w:t xml:space="preserve">Lato Sensu</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Certificados de Pós-Graduação </w:t>
            </w:r>
            <w:r w:rsidDel="00000000" w:rsidR="00000000" w:rsidRPr="00000000">
              <w:rPr>
                <w:rFonts w:ascii="Arial" w:cs="Arial" w:eastAsia="Arial" w:hAnsi="Arial"/>
                <w:i w:val="1"/>
                <w:sz w:val="20"/>
                <w:szCs w:val="20"/>
                <w:rtl w:val="0"/>
              </w:rPr>
              <w:t xml:space="preserve">Lato Sensu</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Certificados de Aperfeiçoamento</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5E">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Certificados de Extensão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5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939</w:t>
            </w:r>
          </w:p>
        </w:tc>
      </w:tr>
      <w:tr>
        <w:trPr>
          <w:trHeight w:val="8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6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Certificados de Extensão Universitária</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6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8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6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Ofícios Expedidos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6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048</w:t>
            </w:r>
          </w:p>
        </w:tc>
      </w:tr>
    </w:tbl>
    <w:p w:rsidR="00000000" w:rsidDel="00000000" w:rsidP="00000000" w:rsidRDefault="00000000" w:rsidRPr="00000000" w14:paraId="00000164">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spacing w:after="120" w:before="120" w:lineRule="auto"/>
        <w:ind w:firstLine="709"/>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Na perspectiva de ampliar significativamente as ofertas de cursos na modalidade a distância, estamos trabalhando com os Departamentos na importância destas ofertas, considerando que neste ano trabalhamos somente com os cursos de Gestão de Vendas, Marketing Estratégico, Pesquisa de Marketing e MBA em Marketing.</w:t>
      </w:r>
      <w:r w:rsidDel="00000000" w:rsidR="00000000" w:rsidRPr="00000000">
        <w:rPr>
          <w:rtl w:val="0"/>
        </w:rPr>
      </w:r>
    </w:p>
    <w:p w:rsidR="00000000" w:rsidDel="00000000" w:rsidP="00000000" w:rsidRDefault="00000000" w:rsidRPr="00000000" w14:paraId="00000166">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trabalho em conjunto entre </w:t>
      </w:r>
      <w:r w:rsidDel="00000000" w:rsidR="00000000" w:rsidRPr="00000000">
        <w:rPr>
          <w:rFonts w:ascii="Arial" w:cs="Arial" w:eastAsia="Arial" w:hAnsi="Arial"/>
          <w:sz w:val="20"/>
          <w:szCs w:val="20"/>
          <w:rtl w:val="0"/>
        </w:rPr>
        <w:t xml:space="preserve">VRPGPE</w:t>
      </w:r>
      <w:r w:rsidDel="00000000" w:rsidR="00000000" w:rsidRPr="00000000">
        <w:rPr>
          <w:rFonts w:ascii="Arial" w:cs="Arial" w:eastAsia="Arial" w:hAnsi="Arial"/>
          <w:sz w:val="20"/>
          <w:szCs w:val="20"/>
          <w:rtl w:val="0"/>
        </w:rPr>
        <w:t xml:space="preserve">, UEC, Departamentos e Escolas Superiores, vem possibilitando o aumento da diversidade de oferta qualificada e compatível com a meta do planejamento institucional. As ações realizadas para viabilizar e efetivar as ofertas de Educação Continuada estão em constante aperfeiçoamento, buscando novas formas e parcerias de diferentes instituições e profissionais, atendendo à demanda das diversas áreas do conhecimento, preparando e qualificando profissionais para o desenvolvimento das atividades de suas profissões, com impacto e resultados na comunidade local e regional.</w:t>
      </w:r>
    </w:p>
    <w:sectPr>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both"/>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both"/>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