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color="c0c0c0" w:space="1" w:sz="36" w:val="single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COORDENADORIA FINANCEIRA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Gerente: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Roberto Montagner Büron</w:t>
      </w:r>
    </w:p>
    <w:p w:rsidR="00000000" w:rsidDel="00000000" w:rsidP="00000000" w:rsidRDefault="00000000" w:rsidRPr="00000000" w14:paraId="00000003">
      <w:pPr>
        <w:spacing w:after="120" w:before="12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Chefe da Central de Atendimento ao Aluno: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Sandro Bueno</w:t>
      </w:r>
    </w:p>
    <w:p w:rsidR="00000000" w:rsidDel="00000000" w:rsidP="00000000" w:rsidRDefault="00000000" w:rsidRPr="00000000" w14:paraId="00000004">
      <w:pPr>
        <w:spacing w:after="120" w:before="12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Coordenadoria Financeira é um órgão estratégico de apoio na gestão financeira da FIDENE, gerenciando recursos, prestando informações qualificadas, confiáveis e úteis para as tomadas de decisão da Instituição, coordenando, supervisionando, orientando e controlando os recursos, informações econômico-financeiras, prestando atendimento às demandas financeiras dos alunos e gerenciando programas de benefícios e financiamentos educacionais. </w:t>
      </w:r>
    </w:p>
    <w:p w:rsidR="00000000" w:rsidDel="00000000" w:rsidP="00000000" w:rsidRDefault="00000000" w:rsidRPr="00000000" w14:paraId="00000006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Em 2018 a Coordenadoria avançou no equilíbrio financeiro da Instituição. Juntamente com a Reitoria foram desenvolvidas diversas ações em busca do equilíbrio entre entradas e saídas de caixa e a manutenção da regularidade fiscal, gerenciando o fluxo de caixa sem necessidade de novas captações no mercado financeiro.</w:t>
      </w:r>
    </w:p>
    <w:p w:rsidR="00000000" w:rsidDel="00000000" w:rsidP="00000000" w:rsidRDefault="00000000" w:rsidRPr="00000000" w14:paraId="00000007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Manter a regularidade fiscal para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seguir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o ciclo de recebimento de recursos do FIES, não captar recursos no mercado financeiro para cobertura do fluxo de caixa e reduzir o quadro de dívidas e, consequentemente, os custos financeiros, são os principais objetivos para os próximos períodos.</w:t>
      </w:r>
    </w:p>
    <w:p w:rsidR="00000000" w:rsidDel="00000000" w:rsidP="00000000" w:rsidRDefault="00000000" w:rsidRPr="00000000" w14:paraId="00000008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Coordenadoria Financeira mantém-se inserida no Planejamento, Orçamento e Desenvolvimento Estratégico da Fidene já iniciado em 2012, focando, principalmente, nos projetos que promovam o desenvolvimento financeiro e econômico da Instituição.</w:t>
      </w:r>
    </w:p>
    <w:p w:rsidR="00000000" w:rsidDel="00000000" w:rsidP="00000000" w:rsidRDefault="00000000" w:rsidRPr="00000000" w14:paraId="00000009">
      <w:pPr>
        <w:spacing w:after="120" w:before="12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NÚCLEO DE TESOURARIA </w:t>
      </w:r>
    </w:p>
    <w:p w:rsidR="00000000" w:rsidDel="00000000" w:rsidP="00000000" w:rsidRDefault="00000000" w:rsidRPr="00000000" w14:paraId="0000000B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 ano de 2018 o Núcleo de Tesouraria deu continuidade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suas atividades de gestão financeira da Instituição, gerenciando 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ontas a Pagar, o Contas a Receber, as Contas de Mútuo de funcionários, bem como todo o ciclo de entradas e saídas de recursos da Instituição. Durante o ano de 2018 foi possível manter a adimplência com o sistema financeiro, compromissos trabalhistas e contingenciamento do conjunto de fornecedores.</w:t>
      </w:r>
    </w:p>
    <w:p w:rsidR="00000000" w:rsidDel="00000000" w:rsidP="00000000" w:rsidRDefault="00000000" w:rsidRPr="00000000" w14:paraId="0000000C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Principais Atividades Desenvolvidas no Núcleo de Tesouraria: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20" w:before="120" w:lineRule="auto"/>
        <w:ind w:left="1069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Emissão de notas fiscais de atividades de extensão e outros serviços prestados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20" w:before="120" w:lineRule="auto"/>
        <w:ind w:left="1069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Manter os serviços de caixas em todos os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Campi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20" w:before="120" w:lineRule="auto"/>
        <w:ind w:left="1069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Fechamento de caixa geral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20" w:before="120" w:lineRule="auto"/>
        <w:ind w:left="1069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Custódia de cheques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20" w:before="120" w:lineRule="auto"/>
        <w:ind w:left="1069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Manter negociações,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conversa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ç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ões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 contatos com bancos.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20" w:before="120" w:lineRule="auto"/>
        <w:ind w:left="1069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Manter o controle e acompanhamento das contas bancárias.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20" w:before="120" w:lineRule="auto"/>
        <w:ind w:left="1069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Manter o controle dos recebimentos e pagamentos da Instituição.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20" w:before="120" w:lineRule="auto"/>
        <w:ind w:left="1069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Envio de arquivo de garantias de recebíveis para registro nos bancos.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20" w:before="120" w:lineRule="auto"/>
        <w:ind w:left="1069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Baixa e processamento de retornos bancários.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20" w:before="120" w:lineRule="auto"/>
        <w:ind w:left="1069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Envio dos arquivos da folha de pagamento para os bancos.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20" w:before="120" w:lineRule="auto"/>
        <w:ind w:left="1069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Manter o controle e acompanhamento do Contrato de Mútuo.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20" w:before="120" w:lineRule="auto"/>
        <w:ind w:left="1069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Lançamento e cobrança de cheques devolvidos dos alunos.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20" w:before="120" w:lineRule="auto"/>
        <w:ind w:left="1069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Cobrança administrativa.</w:t>
      </w:r>
    </w:p>
    <w:p w:rsidR="00000000" w:rsidDel="00000000" w:rsidP="00000000" w:rsidRDefault="00000000" w:rsidRPr="00000000" w14:paraId="0000001A">
      <w:pPr>
        <w:spacing w:after="120" w:before="12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CENTRAL DE ATENDIMENTO AO ALUNO</w:t>
      </w:r>
    </w:p>
    <w:p w:rsidR="00000000" w:rsidDel="00000000" w:rsidP="00000000" w:rsidRDefault="00000000" w:rsidRPr="00000000" w14:paraId="0000001E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Central de Atendimento ao Aluno é um núcleo vinculado à Coordenadoria Financeira e entrou em funcionamento em abril de 2010, objetivando qualificar o atendimento ao aluno. A CAA possui o atendimento virtual, sendo constituída de atendimento telefônico, e-mail e chat Unijuí. Esta estrutura qualifica o atendimento ao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constitui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mais uma alternativa de atendimento diferenciado,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uma vez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que se mantém em funcionamento contínuo, das 8h às 22h, sem intervalo.</w:t>
      </w:r>
    </w:p>
    <w:p w:rsidR="00000000" w:rsidDel="00000000" w:rsidP="00000000" w:rsidRDefault="00000000" w:rsidRPr="00000000" w14:paraId="0000001F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 principais demandas de atendimento para a CAA continuam sendo bolsas e benefícios educacionais, podendo ser destacados os programas governamentais, como Fies,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Crediunijuí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Plano de Flexibilização de pagamento e ProUni, que demandam um grande volume de atendimento e contatos com alunos no ano.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2018 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UNIJUÍ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gerenciou as seguintes bolsas e financiamentos educacionais:</w:t>
      </w:r>
    </w:p>
    <w:tbl>
      <w:tblPr>
        <w:tblStyle w:val="Table1"/>
        <w:tblW w:w="92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1"/>
        <w:gridCol w:w="2203"/>
        <w:gridCol w:w="2203"/>
        <w:tblGridChange w:id="0">
          <w:tblGrid>
            <w:gridCol w:w="4881"/>
            <w:gridCol w:w="2203"/>
            <w:gridCol w:w="2203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Programas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Estudantes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que utilizaram os Programas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1º semestre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2º semestre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ProUni – Programa Universidade para Todos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993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FIES – Fundo de Financiamento Estudantil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1.917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1.671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CREDIUNIJUÍ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0"/>
              </w:tabs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195</w:t>
            </w:r>
          </w:p>
        </w:tc>
      </w:tr>
    </w:tbl>
    <w:p w:rsidR="00000000" w:rsidDel="00000000" w:rsidP="00000000" w:rsidRDefault="00000000" w:rsidRPr="00000000" w14:paraId="0000002F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oferta de bolsas do ProUni, que faz parte da comprovação da filantropia da instituição, teve a seguinte oferta de bolsas: no primeiro semestre de 2018 foram ofertadas e preenchidas 105 bolsas integrais do ProUni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 segundo semestre de 2018 foram ofertadas e preenchidas 50 bolsas integrais do ProUni. </w:t>
      </w:r>
    </w:p>
    <w:p w:rsidR="00000000" w:rsidDel="00000000" w:rsidP="00000000" w:rsidRDefault="00000000" w:rsidRPr="00000000" w14:paraId="00000031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oferta do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Crediunijuí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no ano de 2018 foi distribuída da seguinte forma: no primeiro semestre de 2018 foram ofertadas 140 vagas e efetivados 80 novos contratos; no segundo semestre de 2018 foram ofertadas 200 vagas e efetivados 130 novos contratos.</w:t>
      </w:r>
    </w:p>
    <w:p w:rsidR="00000000" w:rsidDel="00000000" w:rsidP="00000000" w:rsidRDefault="00000000" w:rsidRPr="00000000" w14:paraId="00000032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Como principais atividades desenvolvidas, destacam-se: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120" w:line="240" w:lineRule="auto"/>
        <w:ind w:left="993" w:right="0" w:hanging="283.999999999999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Coordenação e administração dos programas e processos de bolsas de estudo, abertura de Editais, número de vagas, seleção e cadastro dos alunos, bem como aditamentos dos programas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CrediUnijuí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FIES, Plano de Flexibilização de Pagamento, Modalidade de Pagamento Linear e ProUni.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120" w:line="240" w:lineRule="auto"/>
        <w:ind w:left="993" w:right="0" w:hanging="283.999999999999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Coordenar, cadastrar e conferir o desconto bolsa grupo familiar; fazer o acompanhamento do aproveitamento acadêmico de todos os alunos beneficiados com bolsas e/ou créditos; administrar os convênios de abatimento para pagamento em dia com órgãos públicos; administrar o Seguro Educacional; administrar o orçamento do Fundo de Apoio às Atividades Estudantis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FAAE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); e realizar processo seletivo dos moradores da Casa do Estudante (Unicasa)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meio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edital de seleção.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120" w:line="240" w:lineRule="auto"/>
        <w:ind w:left="993" w:right="0" w:hanging="283.999999999999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Coordenar o processo de inscrição e seleção de bolsas para os alunos do Centro de Educação Básica Francisco de Assis – EFA.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120" w:line="240" w:lineRule="auto"/>
        <w:ind w:left="993" w:right="0" w:hanging="283.999999999999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Elaborar, via sistema do MEC, os Termos Aditivos aos Termos de Adesão do ProUni e FIES para geração do número de bolsas de estudo e financiamentos para cada processo seletivo.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120" w:line="240" w:lineRule="auto"/>
        <w:ind w:left="993" w:right="0" w:hanging="283.999999999999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Presidir a Comissão Permanente de Seleção e Acompanhamento de Bolsas de Estudo e Créditos Educacionais e elaborar os Editais de Seleção de Bolsas de Estudos e Créditos Educacionais.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120" w:line="240" w:lineRule="auto"/>
        <w:ind w:left="993" w:right="0" w:hanging="283.999999999999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Coordenar o Gerenciamento da Apólice de Seguro Educacional dos estudantes da UNIJUÍ e EFA.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120" w:line="240" w:lineRule="auto"/>
        <w:ind w:left="993" w:right="0" w:hanging="283.999999999999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Executar e fazer cumprir as leis, regulamentos e normas que se aplicam às bolsas de estudos e créditos educacionais, bem como o aproveitamento acadêmico (de no mínimo 75% das disciplinas cursadas) de todos os alunos beneficiados com Bolsas de Estudos e/ou Créditos Educacionais.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120" w:line="240" w:lineRule="auto"/>
        <w:ind w:left="993" w:right="0" w:hanging="283.999999999999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Cadastrar e controlar os abatimentos para pagamento em dia do Grupo Familiar e dos convênios com órgãos Públicos.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120" w:line="240" w:lineRule="auto"/>
        <w:ind w:left="993" w:right="0" w:hanging="283.999999999999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Controlar o valor anual das bolsas concedidas para que atinja o valor necessário à Filantropia UNIJUÍ.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tabs>
          <w:tab w:val="left" w:pos="993"/>
        </w:tabs>
        <w:spacing w:after="120" w:before="120" w:lineRule="auto"/>
        <w:ind w:left="993" w:hanging="283.9999999999999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Atendimento à comunidade acadêmica interna e externa.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tabs>
          <w:tab w:val="left" w:pos="993"/>
        </w:tabs>
        <w:spacing w:after="120" w:before="120" w:lineRule="auto"/>
        <w:ind w:left="993" w:hanging="283.9999999999999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Emissão de boletos de cobranças para os alunos da EFA, graduação presencial, EaD e Pós-Graduação.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tabs>
          <w:tab w:val="left" w:pos="993"/>
        </w:tabs>
        <w:spacing w:after="120" w:before="120" w:lineRule="auto"/>
        <w:ind w:left="993" w:hanging="283.9999999999999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Cadastro de planos de pagamentos bem como sua manutenção de rotina.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tabs>
          <w:tab w:val="left" w:pos="993"/>
        </w:tabs>
        <w:spacing w:after="120" w:before="120" w:lineRule="auto"/>
        <w:ind w:left="993" w:hanging="283.9999999999999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Cadastrar as tabelas dos valores das mensalidades.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tabs>
          <w:tab w:val="left" w:pos="993"/>
        </w:tabs>
        <w:spacing w:after="120" w:before="120" w:lineRule="auto"/>
        <w:ind w:left="993" w:hanging="283.9999999999999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Emitir diversos relatórios para a Contabilidade e outros setores, objetivando a conciliação e fechamento contábil da Instituição.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tabs>
          <w:tab w:val="left" w:pos="993"/>
        </w:tabs>
        <w:spacing w:after="120" w:before="120" w:lineRule="auto"/>
        <w:ind w:left="993" w:hanging="283.9999999999999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Negociação de mensalidades e cheques com alunos devedores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mediante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renegociações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débitos.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tabs>
          <w:tab w:val="left" w:pos="993"/>
        </w:tabs>
        <w:spacing w:after="120" w:before="120" w:lineRule="auto"/>
        <w:ind w:left="993" w:hanging="283.9999999999999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Manter atualizadas as contas correntes dos alunos.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tabs>
          <w:tab w:val="left" w:pos="993"/>
        </w:tabs>
        <w:spacing w:after="120" w:before="120" w:lineRule="auto"/>
        <w:ind w:left="993" w:hanging="283.9999999999999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Auxiliar nos processos de matrículas e rematrículas.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120" w:line="240" w:lineRule="auto"/>
        <w:ind w:left="993" w:right="0" w:hanging="283.999999999999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Cancelamentos de disciplinas e trancamentos de cursos.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0"/>
        </w:tabs>
        <w:spacing w:after="120" w:before="12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701" w:left="1701" w:right="1134" w:header="709" w:footer="709"/>
      <w:pgNumType w:start="8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