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60" w:before="24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Conselho Diretor</w:t>
      </w:r>
    </w:p>
    <w:p w:rsidR="00000000" w:rsidDel="00000000" w:rsidP="00000000" w:rsidRDefault="00000000" w:rsidRPr="00000000" w14:paraId="00000002">
      <w:pPr>
        <w:spacing w:after="120" w:before="120" w:line="259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Conselho Diretor, órgão deliberativo e consultivo da administração da FIDENE, compõe-se do presidente e do vice-presidente da Fundação e de mais sete membros efetivos e três suplentes eleitos em Assembleia Geral, com mandato de três anos, permitida uma reeleição.</w:t>
      </w:r>
    </w:p>
    <w:p w:rsidR="00000000" w:rsidDel="00000000" w:rsidP="00000000" w:rsidRDefault="00000000" w:rsidRPr="00000000" w14:paraId="00000003">
      <w:pPr>
        <w:spacing w:after="120" w:before="120" w:line="259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 2018, o referido Conselho esteve constituído pelos seguintes membros: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106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Membros Efetivos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Cátia Maria Nehring – presidente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Martinho Luís Kelm – vice-presidente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Arnildo Laurêncio Rockenbach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Cláudio da Cruz de Souza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Heloísa Meincke Eickhoff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Ivo Ney Kuhn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Jaeme Luiz Callai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Onésimo Antonio Ceratti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Vera Regina Kapp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106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Membros Suplentes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Joaquim Henrique Gatto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Osório Antônio Lucchese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60" w:before="60" w:line="240" w:lineRule="auto"/>
        <w:ind w:left="142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Sérgio Luís Allebrandt </w:t>
      </w:r>
    </w:p>
    <w:p w:rsidR="00000000" w:rsidDel="00000000" w:rsidP="00000000" w:rsidRDefault="00000000" w:rsidRPr="00000000" w14:paraId="00000012">
      <w:pPr>
        <w:spacing w:after="120" w:before="120" w:line="259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 membros do Conselho Diretor reuniram-se em </w:t>
      </w:r>
      <w:r w:rsidDel="00000000" w:rsidR="00000000" w:rsidRPr="00000000">
        <w:rPr>
          <w:b w:val="1"/>
          <w:sz w:val="20"/>
          <w:szCs w:val="20"/>
          <w:rtl w:val="0"/>
        </w:rPr>
        <w:t xml:space="preserve">dez sessões</w:t>
      </w:r>
      <w:r w:rsidDel="00000000" w:rsidR="00000000" w:rsidRPr="00000000">
        <w:rPr>
          <w:sz w:val="20"/>
          <w:szCs w:val="20"/>
          <w:rtl w:val="0"/>
        </w:rPr>
        <w:t xml:space="preserve"> para apreciar e deliberar sobre os seguintes assuntos: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Deliberação sobre alienação de bens imóveis de propriedade da FIDENE, registrados nas Matrículas Imóveis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33.087, 33.091, 33.109, 33.110, 17.304 e 12.925, respectivamente, dois apartamentos, dois boxes de garagem e uma (01) fração de terras rurais em São Luiz Gonzaga/RS.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Apreciação do Termo de Ciência e Consentimento de Obrigações Funcionais dos Funcionários da FIDENE com vistas à introdução do e-Social.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Apreciação do Termo de Ciência de Obrigações Funcionais dos encarregados, chefes e gerentes da FIDENE/UNIJUÍ com vistas a introdução do e-Social.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Deliberação sobre autorização de cedência de área da FIDENE/UNIJUÍ no </w:t>
      </w: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Santa Rosa para fins de efetivação de parceria entre Poder Público e FIDENE/UNIJUÍ, visando o recebimento de recursos oriundos de emenda parlamentar através do Projeto “Tu Decide”.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Apreciação do Relatório de Atividades e Balanço da FIDENE e suas mantidas referente ao exercício 2017.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Revisão orçamentária FIDENE 2018.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Deliberação sobre autorização de cedência de área da FIDENE/UNIJUÍ no </w:t>
      </w: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Ijuí para fins de efetivação de parceria entre poder público e universidade, visando o recebimento de recursos oriundos de emenda parlamentar por meio do Projeto “Tu Decide.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Deliberação sobre autorização de cedência de área da FIDENE/UNIJUÍ no </w:t>
      </w: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Santa Rosa para fins de efetivação de parceria entre poder público e universidade, visando o recebimento de recursos oriundos de emenda parlamentar por meio do Projeto “Tu Decide.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Não incidência de juros da mensalidade, referente ao vencimento do dia 7 de junho dos estudantes da UNIJUÍ que possuam atividade econômica do leite – Bloco do Produtor (ou seus pais), pagas até 20 de junho nos caixas da Unijuí;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Informações econômico-financeira consolidadas em maio/2018.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Quantificação da revisão orçamentária – exercício 2018.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Tema pautado em dois momentos: Regulamentação do plano de trabalho diferenciado para integrantes do Quadro Sênior (10 horas) considerando impacto da legislação do e-Social.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Autorização para recebimento do recurso para o projeto Coral Unijuí no valor de R$ 2.000,00 pelo Programa Empreender para Transformar – PET – pelo SICREDI.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Autorização para comercialização de produtos institucionais na Editora Unijuí e inclusão desta atividade econômica secundária junto à Receita Federal no CNPJ 90.738.014/0026-58 – Editora UNIJUÍ.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Autorização para adequação na descrição da atividade secundária da FIDENE para a prestação de serviços da Central Analítica (CNAE 7120-1/00 Testes e Análises Técnicas), que implica emissão de Alvará pela vigilância sanitária.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Autorização para inclusão da atividade secundária junto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Receita Federal no CNPJ 90.738.014/0001-08 – FIDENE para a prestação de serviços da Central Analítica.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 várias reuniões foi apresentado e discutido a Resolução do Plano de Demissão Voluntária – PDV.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Proposta de resolução que regulamenta o Plano de Carreira do Magistério do Centro de Educação Básica Francisco de Assis – EFA.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Apresentação dos resultados da FIDENE e suas mantidas até setembro/2018.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Apresentação das alterações na Resolução CD nº 02/2018 – Plano de Demissão Voluntária – PDV construídas conjuntamente com as entidades sindicais.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Apresentação das alterações efetivadas na Resolução CD nº 03/2018 – Regulamenta o Plano de Carreira do Magistério do Centro de Educação Básica Francisco de Assis – EFA.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Apreciação da proposta de resolução que permite celebrar parcerias com entes públicos e as organizações da sociedade civil (atender ao disposto da Lei nº 13.019/2014, art. 33, inciso IV).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Proposta de resolução que fixa os valores das mensalidades dos cursos da Educação Básica do Centro de Educação Básica Francisco de Assis – EFA – e estabelece outros benefícios estudantis para 2019.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Apreciação da proposta de resolução que fixa as diretrizes para a elaboração do Orçamento Programa da FIDENE e suas mantidas para o exercício de 2019.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Deliberação sobre a reapresentação da solicitação de autorização de cedência de área da FIDENE/UNIJUÍ no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b w:val="1"/>
          <w:sz w:val="20"/>
          <w:szCs w:val="20"/>
          <w:rtl w:val="0"/>
        </w:rPr>
        <w:t xml:space="preserve"> Santa Rosa</w:t>
      </w:r>
      <w:r w:rsidDel="00000000" w:rsidR="00000000" w:rsidRPr="00000000">
        <w:rPr>
          <w:sz w:val="20"/>
          <w:szCs w:val="20"/>
          <w:rtl w:val="0"/>
        </w:rPr>
        <w:t xml:space="preserve"> para fins de efetivação de parceria entre Poder Público e FIDENE/UNIJUÍ, visando o recebimento de recursos oriundos de emenda parlamentar por meio do Projeto “Tu Decide”.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Apreciação e deliberação do Orçamento Programa da FIDENE para 2019.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120" w:before="12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Proposta de resolução de criação da Comissão Permanente de Avaliação de Documentos.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right="-285" w:firstLine="709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análise destes temas o Conselho Diretor emitiu </w:t>
      </w:r>
      <w:r w:rsidDel="00000000" w:rsidR="00000000" w:rsidRPr="00000000">
        <w:rPr>
          <w:b w:val="1"/>
          <w:sz w:val="20"/>
          <w:szCs w:val="20"/>
          <w:rtl w:val="0"/>
        </w:rPr>
        <w:t xml:space="preserve">sete pareceres e oito resoluções.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25" w:hanging="360"/>
      </w:pPr>
      <w:rPr/>
    </w:lvl>
    <w:lvl w:ilvl="1">
      <w:start w:val="1"/>
      <w:numFmt w:val="bullet"/>
      <w:lvlText w:val="-"/>
      <w:lvlJc w:val="left"/>
      <w:pPr>
        <w:ind w:left="1983" w:hanging="198"/>
      </w:pPr>
      <w:rPr>
        <w:rFonts w:ascii="Arial" w:cs="Arial" w:eastAsia="Arial" w:hAnsi="Arial"/>
      </w:rPr>
    </w:lvl>
    <w:lvl w:ilvl="2">
      <w:start w:val="1"/>
      <w:numFmt w:val="decimal"/>
      <w:lvlText w:val="%3"/>
      <w:lvlJc w:val="left"/>
      <w:pPr>
        <w:ind w:left="3045" w:hanging="360"/>
      </w:pPr>
      <w:rPr/>
    </w:lvl>
    <w:lvl w:ilvl="3">
      <w:start w:val="1"/>
      <w:numFmt w:val="decimal"/>
      <w:lvlText w:val="%4."/>
      <w:lvlJc w:val="left"/>
      <w:pPr>
        <w:ind w:left="3585" w:hanging="360"/>
      </w:pPr>
      <w:rPr/>
    </w:lvl>
    <w:lvl w:ilvl="4">
      <w:start w:val="1"/>
      <w:numFmt w:val="lowerLetter"/>
      <w:lvlText w:val="%5."/>
      <w:lvlJc w:val="left"/>
      <w:pPr>
        <w:ind w:left="4305" w:hanging="360"/>
      </w:pPr>
      <w:rPr/>
    </w:lvl>
    <w:lvl w:ilvl="5">
      <w:start w:val="1"/>
      <w:numFmt w:val="lowerRoman"/>
      <w:lvlText w:val="%6."/>
      <w:lvlJc w:val="right"/>
      <w:pPr>
        <w:ind w:left="5025" w:hanging="180"/>
      </w:pPr>
      <w:rPr/>
    </w:lvl>
    <w:lvl w:ilvl="6">
      <w:start w:val="1"/>
      <w:numFmt w:val="decimal"/>
      <w:lvlText w:val="%7."/>
      <w:lvlJc w:val="left"/>
      <w:pPr>
        <w:ind w:left="5745" w:hanging="360"/>
      </w:pPr>
      <w:rPr/>
    </w:lvl>
    <w:lvl w:ilvl="7">
      <w:start w:val="1"/>
      <w:numFmt w:val="lowerLetter"/>
      <w:lvlText w:val="%8."/>
      <w:lvlJc w:val="left"/>
      <w:pPr>
        <w:ind w:left="6465" w:hanging="360"/>
      </w:pPr>
      <w:rPr/>
    </w:lvl>
    <w:lvl w:ilvl="8">
      <w:start w:val="1"/>
      <w:numFmt w:val="lowerRoman"/>
      <w:lvlText w:val="%9."/>
      <w:lvlJc w:val="right"/>
      <w:pPr>
        <w:ind w:left="7185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65" w:hanging="360"/>
      </w:pPr>
      <w:rPr/>
    </w:lvl>
    <w:lvl w:ilvl="1">
      <w:start w:val="1"/>
      <w:numFmt w:val="bullet"/>
      <w:lvlText w:val="-"/>
      <w:lvlJc w:val="left"/>
      <w:pPr>
        <w:ind w:left="1623" w:hanging="198"/>
      </w:pPr>
      <w:rPr>
        <w:rFonts w:ascii="Arial" w:cs="Arial" w:eastAsia="Arial" w:hAnsi="Arial"/>
      </w:rPr>
    </w:lvl>
    <w:lvl w:ilvl="2">
      <w:start w:val="1"/>
      <w:numFmt w:val="decimal"/>
      <w:lvlText w:val="%3."/>
      <w:lvlJc w:val="left"/>
      <w:pPr>
        <w:ind w:left="3435" w:hanging="111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1425" w:hanging="360"/>
      </w:pPr>
      <w:rPr/>
    </w:lvl>
    <w:lvl w:ilvl="1">
      <w:start w:val="1"/>
      <w:numFmt w:val="bullet"/>
      <w:lvlText w:val="-"/>
      <w:lvlJc w:val="left"/>
      <w:pPr>
        <w:ind w:left="1983" w:hanging="198"/>
      </w:pPr>
      <w:rPr>
        <w:rFonts w:ascii="Arial" w:cs="Arial" w:eastAsia="Arial" w:hAnsi="Arial"/>
      </w:rPr>
    </w:lvl>
    <w:lvl w:ilvl="2">
      <w:start w:val="1"/>
      <w:numFmt w:val="decimal"/>
      <w:lvlText w:val="%3"/>
      <w:lvlJc w:val="left"/>
      <w:pPr>
        <w:ind w:left="3045" w:hanging="360"/>
      </w:pPr>
      <w:rPr/>
    </w:lvl>
    <w:lvl w:ilvl="3">
      <w:start w:val="1"/>
      <w:numFmt w:val="decimal"/>
      <w:lvlText w:val="%4."/>
      <w:lvlJc w:val="left"/>
      <w:pPr>
        <w:ind w:left="3585" w:hanging="360"/>
      </w:pPr>
      <w:rPr/>
    </w:lvl>
    <w:lvl w:ilvl="4">
      <w:start w:val="1"/>
      <w:numFmt w:val="lowerLetter"/>
      <w:lvlText w:val="%5."/>
      <w:lvlJc w:val="left"/>
      <w:pPr>
        <w:ind w:left="4305" w:hanging="360"/>
      </w:pPr>
      <w:rPr/>
    </w:lvl>
    <w:lvl w:ilvl="5">
      <w:start w:val="1"/>
      <w:numFmt w:val="lowerRoman"/>
      <w:lvlText w:val="%6."/>
      <w:lvlJc w:val="right"/>
      <w:pPr>
        <w:ind w:left="5025" w:hanging="180"/>
      </w:pPr>
      <w:rPr/>
    </w:lvl>
    <w:lvl w:ilvl="6">
      <w:start w:val="1"/>
      <w:numFmt w:val="decimal"/>
      <w:lvlText w:val="%7."/>
      <w:lvlJc w:val="left"/>
      <w:pPr>
        <w:ind w:left="5745" w:hanging="360"/>
      </w:pPr>
      <w:rPr/>
    </w:lvl>
    <w:lvl w:ilvl="7">
      <w:start w:val="1"/>
      <w:numFmt w:val="lowerLetter"/>
      <w:lvlText w:val="%8."/>
      <w:lvlJc w:val="left"/>
      <w:pPr>
        <w:ind w:left="6465" w:hanging="360"/>
      </w:pPr>
      <w:rPr/>
    </w:lvl>
    <w:lvl w:ilvl="8">
      <w:start w:val="1"/>
      <w:numFmt w:val="lowerRoman"/>
      <w:lvlText w:val="%9."/>
      <w:lvlJc w:val="right"/>
      <w:pPr>
        <w:ind w:left="718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