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pBdr>
          <w:bottom w:color="c0c0c0" w:space="1" w:sz="36" w:val="single"/>
        </w:pBdr>
        <w:spacing w:after="20" w:before="2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CONSELHO DE GESTÃO – COGEST </w:t>
      </w:r>
    </w:p>
    <w:p w:rsidR="00000000" w:rsidDel="00000000" w:rsidP="00000000" w:rsidRDefault="00000000" w:rsidRPr="00000000" w14:paraId="00000002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59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Conselho de Gestão realizou </w:t>
      </w:r>
      <w:r w:rsidDel="00000000" w:rsidR="00000000" w:rsidRPr="00000000">
        <w:rPr>
          <w:b w:val="1"/>
          <w:sz w:val="20"/>
          <w:szCs w:val="20"/>
          <w:rtl w:val="0"/>
        </w:rPr>
        <w:t xml:space="preserve">oito reuniões </w:t>
      </w:r>
      <w:r w:rsidDel="00000000" w:rsidR="00000000" w:rsidRPr="00000000">
        <w:rPr>
          <w:sz w:val="20"/>
          <w:szCs w:val="20"/>
          <w:rtl w:val="0"/>
        </w:rPr>
        <w:t xml:space="preserve">de trabalho em 2018 </w:t>
      </w:r>
      <w:r w:rsidDel="00000000" w:rsidR="00000000" w:rsidRPr="00000000">
        <w:rPr>
          <w:b w:val="1"/>
          <w:sz w:val="20"/>
          <w:szCs w:val="20"/>
          <w:rtl w:val="0"/>
        </w:rPr>
        <w:t xml:space="preserve">nas seguintes datas: 1º e 29 de março, 7 de junho, 5 de julho, 7 de agosto, 1º e 22 de novembro e 13 de dezembro. </w:t>
      </w:r>
      <w:r w:rsidDel="00000000" w:rsidR="00000000" w:rsidRPr="00000000">
        <w:rPr>
          <w:sz w:val="20"/>
          <w:szCs w:val="20"/>
          <w:rtl w:val="0"/>
        </w:rPr>
        <w:t xml:space="preserve">Os temas tratados foram: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Análise dos indicadores e subsídios para revisão orçamentária.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Revisão orçamentária para o exercício 2018.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Revisão da Instrução Normativa D.E nº 01/2018 que define critérios para afastamentos institucionais remunerados e para afastamentos mediante compensação de horas positivas.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Entrega da cópia física do Relatório de Autoavaliação </w:t>
      </w:r>
      <w:r w:rsidDel="00000000" w:rsidR="00000000" w:rsidRPr="00000000">
        <w:rPr>
          <w:sz w:val="20"/>
          <w:szCs w:val="20"/>
          <w:rtl w:val="0"/>
        </w:rPr>
        <w:t xml:space="preserve">InstitucionaI</w:t>
      </w:r>
      <w:r w:rsidDel="00000000" w:rsidR="00000000" w:rsidRPr="00000000">
        <w:rPr>
          <w:sz w:val="20"/>
          <w:szCs w:val="20"/>
          <w:rtl w:val="0"/>
        </w:rPr>
        <w:t xml:space="preserve"> com a presença da coordenadora da CPA e da Assessoria de Planejamento.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Apresentação da Proposta de Revisão do Calendário Acadêmico 2018.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Apresentação da nova legislação trabalhista e a funcionalidade do e-Social – adv. Alex Rodrigo Reichert – Assessoria Jurídica e José Luis </w:t>
      </w:r>
      <w:r w:rsidDel="00000000" w:rsidR="00000000" w:rsidRPr="00000000">
        <w:rPr>
          <w:sz w:val="20"/>
          <w:szCs w:val="20"/>
          <w:rtl w:val="0"/>
        </w:rPr>
        <w:t xml:space="preserve">Bressam</w:t>
      </w:r>
      <w:r w:rsidDel="00000000" w:rsidR="00000000" w:rsidRPr="00000000">
        <w:rPr>
          <w:sz w:val="20"/>
          <w:szCs w:val="20"/>
          <w:rtl w:val="0"/>
        </w:rPr>
        <w:t xml:space="preserve"> – gerente da Coordenadoria RH.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Informações econômico-financeira consolidadas em maio/2018.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Quadro de pessoal da Reitoria e dos Departamentos.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Gestão dos Tempos Docentes – professores horistas; horas negativas; horas positivas; DIN; demais eventuais.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Editais </w:t>
      </w:r>
      <w:r w:rsidDel="00000000" w:rsidR="00000000" w:rsidRPr="00000000">
        <w:rPr>
          <w:sz w:val="20"/>
          <w:szCs w:val="20"/>
          <w:rtl w:val="0"/>
        </w:rPr>
        <w:t xml:space="preserve">VRPGPE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Seleção de professores doutores e mestres da UNIJUÍ para serem contemplados com horas do Fundo Institucional de Pesquisa no período de 2019-2020.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Seleção de projetos de extensão na modalidade ações comunitárias para serem contemplados com horas do fundo institucional de extensão no período de 2019-2020.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Comunicações.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20" w:before="120" w:line="240" w:lineRule="auto"/>
        <w:ind w:left="107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Instrução Normativa VRPGPE nº 01/2018 – Regulamenta a processualidade na tramitação de Projetos Pedagógicos de cursos de Pós-Graduação </w:t>
      </w:r>
      <w:r w:rsidDel="00000000" w:rsidR="00000000" w:rsidRPr="00000000">
        <w:rPr>
          <w:i w:val="1"/>
          <w:sz w:val="20"/>
          <w:szCs w:val="20"/>
          <w:rtl w:val="0"/>
        </w:rPr>
        <w:t xml:space="preserve">Lato Sensu</w:t>
      </w:r>
      <w:r w:rsidDel="00000000" w:rsidR="00000000" w:rsidRPr="00000000">
        <w:rPr>
          <w:sz w:val="20"/>
          <w:szCs w:val="20"/>
          <w:rtl w:val="0"/>
        </w:rPr>
        <w:t xml:space="preserve">, denominados de especialização, nos órgãos superiores da UNIJUÍ em primeira edição.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20" w:before="120" w:line="240" w:lineRule="auto"/>
        <w:ind w:left="107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Instrução Normativa VRA nº 03/2018 – Estabelece critérios para a projeção orçamentária dos cursos de Pós-Graduação </w:t>
      </w:r>
      <w:r w:rsidDel="00000000" w:rsidR="00000000" w:rsidRPr="00000000">
        <w:rPr>
          <w:i w:val="1"/>
          <w:sz w:val="20"/>
          <w:szCs w:val="20"/>
          <w:rtl w:val="0"/>
        </w:rPr>
        <w:t xml:space="preserve">Lato Sensu</w:t>
      </w:r>
      <w:r w:rsidDel="00000000" w:rsidR="00000000" w:rsidRPr="00000000">
        <w:rPr>
          <w:sz w:val="20"/>
          <w:szCs w:val="20"/>
          <w:rtl w:val="0"/>
        </w:rPr>
        <w:t xml:space="preserve">, denominados especialização, nas modalidades presencial e a distância da UNIJUÍ.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before="120" w:line="240" w:lineRule="auto"/>
        <w:ind w:left="107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Edital </w:t>
      </w:r>
      <w:r w:rsidDel="00000000" w:rsidR="00000000" w:rsidRPr="00000000">
        <w:rPr>
          <w:sz w:val="20"/>
          <w:szCs w:val="20"/>
          <w:rtl w:val="0"/>
        </w:rPr>
        <w:t xml:space="preserve">VRPGPE</w:t>
      </w:r>
      <w:r w:rsidDel="00000000" w:rsidR="00000000" w:rsidRPr="00000000">
        <w:rPr>
          <w:sz w:val="20"/>
          <w:szCs w:val="20"/>
          <w:rtl w:val="0"/>
        </w:rPr>
        <w:t xml:space="preserve">/VRG nº 01/2018 – Seleção de professores doutores ou mestres da UNIJUÍ para serem contemplados com horas de AIG – Atividades inerentes ao desenvolvimento dos cursos de graduação, no ano de 2019.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Quadro financeiro até setembro/2018 e perspectivas baseado no Orçamento Programa 2019.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Tempo para a Coordenação dos Laboratórios dos Departamentos.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Proposição de revisão da Instrução Normativa VRA – Define parâmetros para atribuição de turnos semanais para a realização de atividades dos professores que atuam na gestão no </w:t>
      </w:r>
      <w:r w:rsidDel="00000000" w:rsidR="00000000" w:rsidRPr="00000000">
        <w:rPr>
          <w:sz w:val="20"/>
          <w:szCs w:val="20"/>
          <w:rtl w:val="0"/>
        </w:rPr>
        <w:t xml:space="preserve">PAPDOCÊNCIA</w:t>
      </w:r>
      <w:r w:rsidDel="00000000" w:rsidR="00000000" w:rsidRPr="00000000">
        <w:rPr>
          <w:sz w:val="20"/>
          <w:szCs w:val="20"/>
          <w:rtl w:val="0"/>
        </w:rPr>
        <w:t xml:space="preserve">, contemplados em Edital de Pesquisa ou em Edital de Extensão e coordenações gerais.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Proposição da Instrução Normativa VRA – Estabelece parâmetros para atribuição de tempo docente referente à contrapartida institucional para projetos de pesquisa ou extensão com financiamentos externos.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before="120" w:line="240" w:lineRule="auto"/>
        <w:ind w:left="714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Cursos de Pós-Graduação </w:t>
      </w:r>
      <w:r w:rsidDel="00000000" w:rsidR="00000000" w:rsidRPr="00000000">
        <w:rPr>
          <w:i w:val="1"/>
          <w:sz w:val="20"/>
          <w:szCs w:val="20"/>
          <w:rtl w:val="0"/>
        </w:rPr>
        <w:t xml:space="preserve">Lato Sensu</w:t>
      </w:r>
      <w:r w:rsidDel="00000000" w:rsidR="00000000" w:rsidRPr="00000000">
        <w:rPr>
          <w:sz w:val="20"/>
          <w:szCs w:val="20"/>
          <w:rtl w:val="0"/>
        </w:rPr>
        <w:t xml:space="preserve"> e cursos de qualificação profissional da UNIJUÍ.</w:t>
      </w:r>
    </w:p>
    <w:p w:rsidR="00000000" w:rsidDel="00000000" w:rsidP="00000000" w:rsidRDefault="00000000" w:rsidRPr="00000000" w14:paraId="00000019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1074" w:hanging="360"/>
      </w:pPr>
      <w:rPr/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