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c0c0c0" w:space="2" w:sz="36" w:val="single"/>
        </w:pBdr>
        <w:spacing w:after="20" w:before="20" w:lineRule="auto"/>
        <w:jc w:val="both"/>
        <w:rPr>
          <w:rFonts w:ascii="Arial" w:cs="Arial" w:eastAsia="Arial" w:hAnsi="Arial"/>
          <w:b w:val="0"/>
          <w:smallCaps w:val="0"/>
          <w:color w:val="000000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vertAlign w:val="baseline"/>
          <w:rtl w:val="0"/>
        </w:rPr>
        <w:t xml:space="preserve">ASSESSORIA JURÍDICA E DE LEGISLAÇÃO E NORMAS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Coordenador: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Lauro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Antônio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Pasche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Assessoria Jurídica e de Legislação e Normas é um órgão suplementar, adscrito à Presidência da FIDENE e à Reitoria da UNIJUÍ.</w:t>
      </w:r>
    </w:p>
    <w:p w:rsidR="00000000" w:rsidDel="00000000" w:rsidP="00000000" w:rsidRDefault="00000000" w:rsidRPr="00000000" w14:paraId="00000006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Tem como atribuições assessorar todos os setores da Instituição em assuntos de natureza jurídica; fazer a interpretação de legislação a ser seguida em suas áreas de atuação; elaborar estudos, emitir pareceres e preparar informações; assistir a Direção da Instituição no controle interno da legalidade administrativa dos atos praticados ou já efetivados e daqueles oriundos de órgão ou colegiado interno; elaborar e examinar textos de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contratos, convênios ou instrumentos congêneres a serem celebrados; examinar ordens e sentenças judiciais e acompanhar seu exato cumprimento.</w:t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atividades desenvolvidas pela Assessoria Jurídica e de Legislação e Normas podem ser divididas em dois blocos.</w:t>
      </w:r>
    </w:p>
    <w:p w:rsidR="00000000" w:rsidDel="00000000" w:rsidP="00000000" w:rsidRDefault="00000000" w:rsidRPr="00000000" w14:paraId="00000008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Num primeiro bloco são elencadas as atividades desenvolvidas na parte jurídica em geral, que são as seguintes: assessoria jurídica preventiva; elaboração e análise de contratos e distratos, editais, convênios, pareceres, resoluções, portarias e outros atos normativos; acompanhamento de processos judiciais e extrajudiciais; encaminhamento e acompanhamento na tramitação de processos e documentos de professores-visitantes estrangeiros; assessoria e orientação jurídica aos diversos setores da instituição, tais como: Secretaria Acadêmica, Coordenadoria de Recursos Humanos, Coordenadoria Financeira, Coordenadora Patrimonial e Departamentos Universitários, Reitoria e mantidas da FIDENE.</w:t>
      </w:r>
    </w:p>
    <w:p w:rsidR="00000000" w:rsidDel="00000000" w:rsidP="00000000" w:rsidRDefault="00000000" w:rsidRPr="00000000" w14:paraId="00000009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Num segundo bloco são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incluídas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as atividades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realizadas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mais especificamente, na área educacional de Legislação e Normas, quais sejam: análise, do ponto de vista legal e jurídico, dos seguintes processos: projetos de criação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efetivação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cursos de graduação, de cursos de Pós-Graduação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Lato Sensu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; modificações nas propostas de cursos quanto a currículo, semestralização, sistema de pré-requisitos, etc.; elaboração e análise de Regimentos de Trabalho de Conclusão de Curso e/ou Estágios dos diversos cursos; elaboração de pareceres, portarias, resoluções, despachos, em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âmbito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 Reitoria e Conselhos Superiores; assessoria na área da legislação educacional à Reitoria, aos diversos Departamentos da Universidade bem como aos setores, com ênfase à Secretaria Acadêmica e ao Centro de Educação Básica Francisco de Assis – EFA.</w:t>
      </w:r>
    </w:p>
    <w:p w:rsidR="00000000" w:rsidDel="00000000" w:rsidP="00000000" w:rsidRDefault="00000000" w:rsidRPr="00000000" w14:paraId="0000000A">
      <w:pPr>
        <w:spacing w:after="120"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Principais Atividades Desenvolvidas na Assessoria Jurídica e de Legislação e Normas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prestou assessoria jurídica e preventiva;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representou e acompanhou os processos em juízo ou fora dele (3.611 ações em que é autora e 86 ações em que é ré);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assessorou a Reitoria e a Presidência, bem como os demais setores da Instituição e as mantidas da FIDENE, na resolução de assuntos da área jurídica;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elaborou estudos e emitiu pareceres e pronunciamentos, bem como prestou informações e orientação oral;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elaborou e examinou editais, contratos, distratos e convênios;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elaborou resoluções, portarias e demais documentos legais relacionados à Instituição;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pesquisou e estudou na legislação, na jurisprudência e na doutrina jurídica para fundamentar análise, conferência e instrução de processos;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analisou, do ponto de vista legal, documentos como: projetos de criação de cursos técnicos, de graduação e de Pós-Graduação; modificações nas propostas dos cursos em relação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currículo, 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emestralização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sistemas de pré-requisitos 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diversos;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120" w:line="240" w:lineRule="auto"/>
        <w:ind w:left="709" w:right="0" w:hanging="340"/>
        <w:jc w:val="both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assessorou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Reitoria, Departamentos da Universidade e EFA em questões relacionadas à legislação educacional.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Participação em Eventos e Outras Atividades em 2018</w:t>
      </w:r>
      <w:r w:rsidDel="00000000" w:rsidR="00000000" w:rsidRPr="00000000">
        <w:rPr>
          <w:rtl w:val="0"/>
        </w:rPr>
      </w:r>
    </w:p>
    <w:tbl>
      <w:tblPr>
        <w:tblStyle w:val="Table1"/>
        <w:tblW w:w="9203.0" w:type="dxa"/>
        <w:jc w:val="left"/>
        <w:tblInd w:w="0.0" w:type="dxa"/>
        <w:tblLayout w:type="fixed"/>
        <w:tblLook w:val="0000"/>
      </w:tblPr>
      <w:tblGrid>
        <w:gridCol w:w="3590"/>
        <w:gridCol w:w="733"/>
        <w:gridCol w:w="1275"/>
        <w:gridCol w:w="2385"/>
        <w:gridCol w:w="1220"/>
        <w:tblGridChange w:id="0">
          <w:tblGrid>
            <w:gridCol w:w="3590"/>
            <w:gridCol w:w="733"/>
            <w:gridCol w:w="1275"/>
            <w:gridCol w:w="2385"/>
            <w:gridCol w:w="122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Evento/Atividade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Promoção/Local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e-Social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Volta às Aulas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Reitoria – auditório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SIPAT 2018 IJUÍ "Ginástica Laboral: A importância da Atividade Física para uma melhor Qualidade de Vida"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SIPAT 2018 IJUÍ “Seja o mestre do seu destino”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2h30min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Avaliação de Desempenho 2018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Avaliação de Desempenho Gestores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 – auditório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Ciclo de Palestras: Análise Econômica do Direito do Trabalho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Treinamento Tribunal de Contas do Estado do 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FORMAÇÃO – Receita regulamenta casos de restituição PIS/COFINS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– Capacitação para Agentes Ambientais 2018 – Sistema de Gestão Ambiental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Capacitação de fiscais – vestibular de inverno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hora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Agente Ambiental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Fiscal de prova vestibular de verão 2019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Workshop de Negociação e Vendas – Criatec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Capacitação de fiscais – vestibular de verão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hora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Fiscal de prova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Libras – Módulo Conversação Primeira Turma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Escala de matrícula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UNIJUÍ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Palestra: Direito Administrativo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Rede LFG – auditório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hora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Palestra: Direito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Rede LFG – auditório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hora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Palestra: Reforma Trabalhista e o e-Social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Rede LFG – auditório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Campanha Vestibular de Verão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Atendimento ao Cliente Sebrae 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Sebrae – via web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Salão do Conhecimento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Argumentação Jurídica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FGV 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Aspectos Gerais da Arbitragem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FGV on-line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Contratação de trabalhadores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FGV on-line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Juiz e a Ética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FGV on-line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Saúde Pública e Iniciativa Privada: É Possível Conciliar? I Seminário Debatendo Direitos Humanos na Terra das Culturas Diversificadas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DCJS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Seminário Internacional de Direitos Humanos e Democracia: Novos Desafios para a Democracia e para o Desenvolvimento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DCJS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SINDIMAN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COMUNG – 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COMUNG – Porto Alegre/RS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– Media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COMUNG – 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COMUNG – Porto Alegre/RS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SINDIMAN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COMUNG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COMUNG – Santa Cruz do Sul/RS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Reunião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SINTAE e SINPRO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SINDIMAN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/Porto Alegre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horas</w:t>
            </w:r>
          </w:p>
        </w:tc>
      </w:tr>
    </w:tbl>
    <w:p w:rsidR="00000000" w:rsidDel="00000000" w:rsidP="00000000" w:rsidRDefault="00000000" w:rsidRPr="00000000" w14:paraId="000000FE">
      <w:pPr>
        <w:spacing w:after="60" w:before="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 –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Seminário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 –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Curso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 –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Treinamento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–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Outros</w:t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NÚCLEO DE COBRANÇAS: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spacing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unidade está vinculada à Assessoria Jurídica e de Legislação e Normas a partir de abril de 2008, e tem como principais atribuições: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efetivar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 cobrança administrativa (escrita) de débitos relativos a mensalidades escolares de alunos ativos e inativos de cursos de graduação, Pós-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Ggraduação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EFA e cursos Técnicos, contratos de confissão de dívidas, acordos judiciais, fundo rotativo, MPE, notas fiscais, contratos de aluguéis e de prestação de serviço.</w:t>
      </w:r>
    </w:p>
    <w:p w:rsidR="00000000" w:rsidDel="00000000" w:rsidP="00000000" w:rsidRDefault="00000000" w:rsidRPr="00000000" w14:paraId="00000103">
      <w:pPr>
        <w:spacing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atividades do Núcleo de Cobranças podem ser resumidas em: análise da conta corrente, contratos e históricos dos alunos, elaboração das notificações, envio das mesmas e controle do retorno, registro dos devedores no SPC e/ou SERASA, baixa dos registros junto ao SPC/SERASA, controle dos cadastros de negativação, organização de material e encaminhamento de débitos para cobrança judicial, negociação direta com os devedores pessoalmente, por telefone e e-mail, suporte aos colegas das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CAAs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dos outros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nas negociações de débitos em cobrança, confecção de contratos de confissão de dívidas.</w:t>
      </w:r>
    </w:p>
    <w:p w:rsidR="00000000" w:rsidDel="00000000" w:rsidP="00000000" w:rsidRDefault="00000000" w:rsidRPr="00000000" w14:paraId="00000104">
      <w:pPr>
        <w:spacing w:before="120" w:lineRule="auto"/>
        <w:ind w:firstLine="709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Cobranças específicas empreendidas em 2018 referente a exercícios do ano e anteriores: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Pós-Graduação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Lato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 Stricto Sensu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aproximadamente 285 devedores cobrados (valor nominal de R$ 1.011.818,48). Destes, valor nominal efetivamente recuperado: R$ 780.016,91 (234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Fundo Rotativo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efetuada cobrança de 49 devedores e fiadores (valor nominal de R$ 97.798,08). Deste valor nominal efetivamente recuperado: R$ 68.196,74 (31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Graduação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aproximadamente 405 devedores cobrados (valor nominal de R$ 1.398.081,45). Destes, valor nominal efetivamente recuperado: R$ 1.353.665,25 (335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M.P.E.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aproximadamente 30 devedores cobrados (valor nominal de R$ 95.003,19). Destes, valor nominal efetivamente recuperado: R$ 84.069,82 (20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Contratos de Renegociação e Acordos Judiciais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aproximadamente 643 devedores e/ou fiadores cobrados (valor nominal de R$ 2.911.601,21). Destes, valor nominal efetivamente recuperado foi de R$ 1.493.362,66. </w:t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Curso Técnico em Enfermagem e Qualificação/EFA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aproximadamente 30 devedores cobrados (valor nominal de R$ 60.618,03). Destes, valor nominal efetivamente recuperado: R$ 41.413,95 (20 alunos). </w:t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EFA (Ensino Fundamental e Médio)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aproximadamente 71 devedores cobrados (valor nominal de R$ 211.480,03). Valor nominal efetivamente recuperado: R$ 250.025,51 (89 alunos).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valor recebido que excede ao cobrado refere-se a saldo de mensalidades remanescente de anos anteriores.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spacing w:after="120" w:before="120" w:lineRule="auto"/>
        <w:ind w:left="357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 decorrer do ano de 2018 foram efetivados 897 registros de negativação de devedores junto ao SPC e ajuizadas 300 ações judiciais de cobrança de débitos.</w:t>
      </w:r>
    </w:p>
    <w:p w:rsidR="00000000" w:rsidDel="00000000" w:rsidP="00000000" w:rsidRDefault="00000000" w:rsidRPr="00000000" w14:paraId="0000010E">
      <w:pPr>
        <w:spacing w:before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701" w:left="1701" w:right="1134" w:header="709" w:footer="709"/>
      <w:pgNumType w:start="8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37" w:hanging="367.99999999999994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6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28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3728" w:hanging="360"/>
      </w:pPr>
      <w:rPr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2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08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