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CA" w:rsidRPr="00CA79E5" w:rsidRDefault="009206CA" w:rsidP="009206CA">
      <w:pPr>
        <w:pStyle w:val="ATitulo"/>
        <w:spacing w:before="120" w:after="120"/>
        <w:rPr>
          <w:rFonts w:ascii="Book Antiqua" w:hAnsi="Book Antiqua"/>
          <w:sz w:val="20"/>
          <w:szCs w:val="20"/>
        </w:rPr>
      </w:pPr>
      <w:bookmarkStart w:id="0" w:name="_Toc36464085"/>
      <w:bookmarkStart w:id="1" w:name="_Toc36461145"/>
      <w:bookmarkStart w:id="2" w:name="_Toc36435058"/>
      <w:bookmarkStart w:id="3" w:name="_Toc36377909"/>
      <w:bookmarkStart w:id="4" w:name="_Toc35765425"/>
      <w:bookmarkStart w:id="5" w:name="_Toc35359151"/>
      <w:bookmarkStart w:id="6" w:name="_Toc35327402"/>
      <w:bookmarkStart w:id="7" w:name="_Toc35309625"/>
      <w:bookmarkStart w:id="8" w:name="_Toc35256273"/>
      <w:bookmarkStart w:id="9" w:name="_Toc34821015"/>
      <w:bookmarkStart w:id="10" w:name="_Toc34141383"/>
      <w:bookmarkStart w:id="11" w:name="_Toc34019898"/>
      <w:bookmarkStart w:id="12" w:name="_Toc33869992"/>
      <w:bookmarkStart w:id="13" w:name="_Toc33869865"/>
      <w:bookmarkStart w:id="14" w:name="_Toc33869809"/>
      <w:bookmarkStart w:id="15" w:name="_Toc33800581"/>
      <w:bookmarkStart w:id="16" w:name="_Toc4737241"/>
      <w:r w:rsidRPr="00CA79E5">
        <w:rPr>
          <w:rFonts w:ascii="Book Antiqua" w:hAnsi="Book Antiqua"/>
          <w:sz w:val="20"/>
          <w:szCs w:val="20"/>
        </w:rPr>
        <w:t>2.1.3.10. Coordenadoria de Marketing – CMKT</w:t>
      </w:r>
    </w:p>
    <w:p w:rsidR="009206CA" w:rsidRPr="00CA79E5" w:rsidRDefault="009206CA" w:rsidP="009206CA">
      <w:pPr>
        <w:spacing w:before="120" w:after="120" w:line="240" w:lineRule="auto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b/>
          <w:sz w:val="20"/>
          <w:szCs w:val="20"/>
          <w:lang w:eastAsia="pt-BR"/>
        </w:rPr>
        <w:t>Gerente</w:t>
      </w:r>
      <w:r w:rsidRPr="00CA79E5">
        <w:rPr>
          <w:rFonts w:ascii="Book Antiqua" w:hAnsi="Book Antiqua"/>
          <w:sz w:val="20"/>
          <w:szCs w:val="20"/>
          <w:lang w:eastAsia="pt-BR"/>
        </w:rPr>
        <w:t>: Giancarlo Dari Bottega</w:t>
      </w:r>
    </w:p>
    <w:p w:rsidR="009206CA" w:rsidRPr="00CA79E5" w:rsidRDefault="009206CA" w:rsidP="009206CA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9206CA" w:rsidRPr="00CA79E5" w:rsidRDefault="009206CA" w:rsidP="009206CA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No ano de 201</w:t>
      </w:r>
      <w:r w:rsidR="002A2682">
        <w:rPr>
          <w:rFonts w:ascii="Book Antiqua" w:hAnsi="Book Antiqua"/>
          <w:sz w:val="20"/>
          <w:szCs w:val="20"/>
          <w:lang w:eastAsia="pt-BR"/>
        </w:rPr>
        <w:t>6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a Coordenadoria de Marketing fortaleceu parâmetros de desenvolvimento focados para atividades visando potencializar ações dinâmicas de relacionamento, posicionamento de marca e prospecção mercadológica através do fortalecimento da Campanha Institucional.</w:t>
      </w:r>
    </w:p>
    <w:p w:rsidR="009206CA" w:rsidRPr="00CA79E5" w:rsidRDefault="009206CA" w:rsidP="009206CA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As ações foram endossadas por um reposicionar estratégico que contemplou</w:t>
      </w:r>
      <w:r w:rsidR="00170449">
        <w:rPr>
          <w:rFonts w:ascii="Book Antiqua" w:hAnsi="Book Antiqua"/>
          <w:sz w:val="20"/>
          <w:szCs w:val="20"/>
          <w:lang w:eastAsia="pt-BR"/>
        </w:rPr>
        <w:t>,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não apenas a manutenção de resultados anteriores, mas a proposição de um crescimento linear e uniforme mantendo nos resultados gerados o compromisso da excelência acadêmica.</w:t>
      </w:r>
    </w:p>
    <w:p w:rsidR="009206CA" w:rsidRPr="00CA79E5" w:rsidRDefault="009206CA" w:rsidP="009206CA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Projetos como Sinergia (endomarketing), Presença Unijuí, Egresso Unijuí, Relacionamento (</w:t>
      </w:r>
      <w:r w:rsidR="00170449">
        <w:rPr>
          <w:rFonts w:ascii="Book Antiqua" w:hAnsi="Book Antiqua"/>
          <w:sz w:val="20"/>
          <w:szCs w:val="20"/>
          <w:lang w:eastAsia="pt-BR"/>
        </w:rPr>
        <w:t>estudantes</w:t>
      </w:r>
      <w:r w:rsidRPr="00CA79E5">
        <w:rPr>
          <w:rFonts w:ascii="Book Antiqua" w:hAnsi="Book Antiqua"/>
          <w:sz w:val="20"/>
          <w:szCs w:val="20"/>
          <w:lang w:eastAsia="pt-BR"/>
        </w:rPr>
        <w:t>, colaboradores e comunidade), Qualificação das ofertas Institucionais, Inteligência de Mercado e Fortalecimento de Marca permaneceram direcionando as atividades da Coordenadoria em 201</w:t>
      </w:r>
      <w:r w:rsidR="002A2682">
        <w:rPr>
          <w:rFonts w:ascii="Book Antiqua" w:hAnsi="Book Antiqua"/>
          <w:sz w:val="20"/>
          <w:szCs w:val="20"/>
          <w:lang w:eastAsia="pt-BR"/>
        </w:rPr>
        <w:t>6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e contribuíram para a expansão sólida da Instituição.</w:t>
      </w:r>
    </w:p>
    <w:p w:rsidR="009206CA" w:rsidRPr="00CA79E5" w:rsidRDefault="009206CA" w:rsidP="009206CA">
      <w:pPr>
        <w:spacing w:before="120" w:after="120" w:line="240" w:lineRule="auto"/>
        <w:ind w:firstLine="851"/>
        <w:jc w:val="both"/>
        <w:rPr>
          <w:rFonts w:ascii="Book Antiqua" w:hAnsi="Book Antiqua"/>
          <w:sz w:val="20"/>
          <w:szCs w:val="20"/>
          <w:lang w:eastAsia="pt-BR"/>
        </w:rPr>
      </w:pPr>
    </w:p>
    <w:p w:rsidR="009206CA" w:rsidRPr="00CA79E5" w:rsidRDefault="009206CA" w:rsidP="00170449">
      <w:pPr>
        <w:spacing w:before="120" w:after="120" w:line="240" w:lineRule="auto"/>
        <w:jc w:val="both"/>
        <w:rPr>
          <w:rFonts w:ascii="Book Antiqua" w:hAnsi="Book Antiqua"/>
          <w:b/>
          <w:sz w:val="20"/>
          <w:szCs w:val="20"/>
          <w:lang w:eastAsia="pt-BR"/>
        </w:rPr>
      </w:pPr>
      <w:r w:rsidRPr="00CA79E5">
        <w:rPr>
          <w:rFonts w:ascii="Book Antiqua" w:hAnsi="Book Antiqua"/>
          <w:b/>
          <w:sz w:val="20"/>
          <w:szCs w:val="20"/>
          <w:lang w:eastAsia="pt-BR"/>
        </w:rPr>
        <w:t>Programas de Marketing UNIJUÍ</w:t>
      </w:r>
    </w:p>
    <w:p w:rsidR="009206CA" w:rsidRPr="00CA79E5" w:rsidRDefault="009206CA" w:rsidP="009206CA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Em 201</w:t>
      </w:r>
      <w:r w:rsidR="00AF5681" w:rsidRPr="00CA79E5">
        <w:rPr>
          <w:rFonts w:ascii="Book Antiqua" w:hAnsi="Book Antiqua"/>
          <w:sz w:val="20"/>
          <w:szCs w:val="20"/>
          <w:lang w:eastAsia="pt-BR"/>
        </w:rPr>
        <w:t>6</w:t>
      </w:r>
      <w:r w:rsidRPr="00CA79E5">
        <w:rPr>
          <w:rFonts w:ascii="Book Antiqua" w:hAnsi="Book Antiqua"/>
          <w:sz w:val="20"/>
          <w:szCs w:val="20"/>
          <w:lang w:eastAsia="pt-BR"/>
        </w:rPr>
        <w:t>, a Coordenadoria de Marketing continuou fomentando os Programas de Marketing da UNIJUÍ, através de sete grandes programas, que contêm subprogramas, projetos, ações, atividades integradas e novos projetos. Os programas de marketing da Unijuí estão assim propostos: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5918"/>
      </w:tblGrid>
      <w:tr w:rsidR="00CA79E5" w:rsidRPr="00CA79E5" w:rsidTr="00421DC3">
        <w:trPr>
          <w:jc w:val="center"/>
        </w:trPr>
        <w:tc>
          <w:tcPr>
            <w:tcW w:w="3085" w:type="dxa"/>
            <w:vAlign w:val="center"/>
          </w:tcPr>
          <w:p w:rsidR="009206CA" w:rsidRPr="00CA79E5" w:rsidRDefault="009206CA" w:rsidP="00421DC3">
            <w:pPr>
              <w:spacing w:after="0" w:line="360" w:lineRule="auto"/>
              <w:jc w:val="center"/>
              <w:rPr>
                <w:rFonts w:ascii="Book Antiqua" w:hAnsi="Book Antiqua"/>
                <w:b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b/>
                <w:sz w:val="20"/>
                <w:szCs w:val="20"/>
                <w:lang w:eastAsia="pt-BR"/>
              </w:rPr>
              <w:t>Nome do Programa</w:t>
            </w:r>
          </w:p>
        </w:tc>
        <w:tc>
          <w:tcPr>
            <w:tcW w:w="5918" w:type="dxa"/>
            <w:vAlign w:val="center"/>
          </w:tcPr>
          <w:p w:rsidR="009206CA" w:rsidRPr="00CA79E5" w:rsidRDefault="009206CA" w:rsidP="00421DC3">
            <w:pPr>
              <w:spacing w:after="0" w:line="360" w:lineRule="auto"/>
              <w:jc w:val="center"/>
              <w:rPr>
                <w:rFonts w:ascii="Book Antiqua" w:hAnsi="Book Antiqua"/>
                <w:b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b/>
                <w:sz w:val="20"/>
                <w:szCs w:val="20"/>
                <w:lang w:eastAsia="pt-BR"/>
              </w:rPr>
              <w:t>Breve descrição técnica</w:t>
            </w:r>
          </w:p>
        </w:tc>
      </w:tr>
      <w:tr w:rsidR="00CA79E5" w:rsidRPr="00CA79E5" w:rsidTr="00421DC3">
        <w:trPr>
          <w:jc w:val="center"/>
        </w:trPr>
        <w:tc>
          <w:tcPr>
            <w:tcW w:w="3085" w:type="dxa"/>
          </w:tcPr>
          <w:p w:rsidR="009206CA" w:rsidRPr="00CA79E5" w:rsidRDefault="009206CA" w:rsidP="00421DC3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b/>
                <w:sz w:val="20"/>
                <w:szCs w:val="20"/>
                <w:lang w:eastAsia="pt-BR"/>
              </w:rPr>
              <w:t>1. Sinergia</w:t>
            </w:r>
          </w:p>
        </w:tc>
        <w:tc>
          <w:tcPr>
            <w:tcW w:w="5918" w:type="dxa"/>
          </w:tcPr>
          <w:p w:rsidR="009206CA" w:rsidRPr="00CA79E5" w:rsidRDefault="009206CA" w:rsidP="00421DC3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Programa de Comunicação interna focado em técnicos-administrativos e de apoio e docentes.</w:t>
            </w:r>
          </w:p>
        </w:tc>
      </w:tr>
      <w:tr w:rsidR="00CA79E5" w:rsidRPr="00CA79E5" w:rsidTr="00421DC3">
        <w:trPr>
          <w:jc w:val="center"/>
        </w:trPr>
        <w:tc>
          <w:tcPr>
            <w:tcW w:w="3085" w:type="dxa"/>
          </w:tcPr>
          <w:p w:rsidR="009206CA" w:rsidRPr="00CA79E5" w:rsidRDefault="009206CA" w:rsidP="00421DC3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b/>
                <w:sz w:val="20"/>
                <w:szCs w:val="20"/>
                <w:lang w:eastAsia="pt-BR"/>
              </w:rPr>
              <w:t>2. Presença Unijuí</w:t>
            </w:r>
          </w:p>
        </w:tc>
        <w:tc>
          <w:tcPr>
            <w:tcW w:w="5918" w:type="dxa"/>
          </w:tcPr>
          <w:p w:rsidR="009206CA" w:rsidRPr="00CA79E5" w:rsidRDefault="009206CA" w:rsidP="00421DC3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Composto de distribuição/praça/</w:t>
            </w:r>
            <w:r w:rsidRPr="00CA79E5">
              <w:rPr>
                <w:rFonts w:ascii="Book Antiqua" w:hAnsi="Book Antiqua"/>
                <w:i/>
                <w:sz w:val="20"/>
                <w:szCs w:val="20"/>
                <w:lang w:eastAsia="pt-BR"/>
              </w:rPr>
              <w:t>meeting point</w:t>
            </w: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 xml:space="preserve">, em eventos, instituições, </w:t>
            </w:r>
            <w:r w:rsidRPr="00CA79E5">
              <w:rPr>
                <w:rFonts w:ascii="Book Antiqua" w:hAnsi="Book Antiqua"/>
                <w:i/>
                <w:sz w:val="20"/>
                <w:szCs w:val="20"/>
                <w:lang w:eastAsia="pt-BR"/>
              </w:rPr>
              <w:t>campi</w:t>
            </w: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, diversos públicos da instituição.</w:t>
            </w:r>
          </w:p>
        </w:tc>
      </w:tr>
      <w:tr w:rsidR="00CA79E5" w:rsidRPr="00CA79E5" w:rsidTr="00421DC3">
        <w:trPr>
          <w:jc w:val="center"/>
        </w:trPr>
        <w:tc>
          <w:tcPr>
            <w:tcW w:w="3085" w:type="dxa"/>
          </w:tcPr>
          <w:p w:rsidR="009206CA" w:rsidRPr="00CA79E5" w:rsidRDefault="009206CA" w:rsidP="00421DC3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b/>
                <w:sz w:val="20"/>
                <w:szCs w:val="20"/>
                <w:lang w:eastAsia="pt-BR"/>
              </w:rPr>
              <w:t>3. Egresso Unijuí</w:t>
            </w:r>
          </w:p>
        </w:tc>
        <w:tc>
          <w:tcPr>
            <w:tcW w:w="5918" w:type="dxa"/>
          </w:tcPr>
          <w:p w:rsidR="009206CA" w:rsidRPr="00CA79E5" w:rsidRDefault="009206CA" w:rsidP="00421DC3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Relacionamento, satisfação e fidelização com egressos, diplomados e certificados.</w:t>
            </w:r>
          </w:p>
        </w:tc>
      </w:tr>
      <w:tr w:rsidR="00CA79E5" w:rsidRPr="00CA79E5" w:rsidTr="00421DC3">
        <w:trPr>
          <w:jc w:val="center"/>
        </w:trPr>
        <w:tc>
          <w:tcPr>
            <w:tcW w:w="3085" w:type="dxa"/>
          </w:tcPr>
          <w:p w:rsidR="009206CA" w:rsidRPr="00CA79E5" w:rsidRDefault="009206CA" w:rsidP="00421DC3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b/>
                <w:sz w:val="20"/>
                <w:szCs w:val="20"/>
                <w:lang w:eastAsia="pt-BR"/>
              </w:rPr>
              <w:t>4. Políticas de Relacionamento</w:t>
            </w:r>
          </w:p>
        </w:tc>
        <w:tc>
          <w:tcPr>
            <w:tcW w:w="5918" w:type="dxa"/>
          </w:tcPr>
          <w:p w:rsidR="009206CA" w:rsidRPr="00CA79E5" w:rsidRDefault="009206CA" w:rsidP="00170449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 xml:space="preserve">Relacionamento efetivo com alunos de ensino médio, satisfação e fidelização com </w:t>
            </w:r>
            <w:r w:rsidR="00170449">
              <w:rPr>
                <w:rFonts w:ascii="Book Antiqua" w:hAnsi="Book Antiqua"/>
                <w:sz w:val="20"/>
                <w:szCs w:val="20"/>
                <w:lang w:eastAsia="pt-BR"/>
              </w:rPr>
              <w:t>e</w:t>
            </w: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 xml:space="preserve">gressos, aproximação e interatividade com </w:t>
            </w:r>
            <w:r w:rsidR="00170449">
              <w:rPr>
                <w:rFonts w:ascii="Book Antiqua" w:hAnsi="Book Antiqua"/>
                <w:sz w:val="20"/>
                <w:szCs w:val="20"/>
                <w:lang w:eastAsia="pt-BR"/>
              </w:rPr>
              <w:t>estudantes</w:t>
            </w: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 xml:space="preserve"> e permanente relação com colaboradores.</w:t>
            </w:r>
          </w:p>
        </w:tc>
      </w:tr>
      <w:tr w:rsidR="00CA79E5" w:rsidRPr="00CA79E5" w:rsidTr="00421DC3">
        <w:trPr>
          <w:jc w:val="center"/>
        </w:trPr>
        <w:tc>
          <w:tcPr>
            <w:tcW w:w="3085" w:type="dxa"/>
          </w:tcPr>
          <w:p w:rsidR="009206CA" w:rsidRPr="00CA79E5" w:rsidRDefault="009206CA" w:rsidP="00421DC3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b/>
                <w:sz w:val="20"/>
                <w:szCs w:val="20"/>
                <w:lang w:eastAsia="pt-BR"/>
              </w:rPr>
              <w:t>5. Qualificação das Ofertas Institucionais</w:t>
            </w:r>
          </w:p>
        </w:tc>
        <w:tc>
          <w:tcPr>
            <w:tcW w:w="5918" w:type="dxa"/>
          </w:tcPr>
          <w:p w:rsidR="009206CA" w:rsidRPr="00CA79E5" w:rsidRDefault="009206CA" w:rsidP="00170449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 xml:space="preserve">Adequação e qualificação das ações que envolvam prospecção, manutenção e recuperação de </w:t>
            </w:r>
            <w:r w:rsidR="00170449">
              <w:rPr>
                <w:rFonts w:ascii="Book Antiqua" w:hAnsi="Book Antiqua"/>
                <w:sz w:val="20"/>
                <w:szCs w:val="20"/>
                <w:lang w:eastAsia="pt-BR"/>
              </w:rPr>
              <w:t>estudantes</w:t>
            </w: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 xml:space="preserve"> de acordo com a particularidade das campanhas desenvolvidas para este</w:t>
            </w:r>
            <w:r w:rsidR="00170449">
              <w:rPr>
                <w:rFonts w:ascii="Book Antiqua" w:hAnsi="Book Antiqua"/>
                <w:sz w:val="20"/>
                <w:szCs w:val="20"/>
                <w:lang w:eastAsia="pt-BR"/>
              </w:rPr>
              <w:t xml:space="preserve"> público</w:t>
            </w: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, dando atenção especial às ofertas da Educação Continuada.</w:t>
            </w:r>
          </w:p>
        </w:tc>
      </w:tr>
      <w:tr w:rsidR="00CA79E5" w:rsidRPr="00CA79E5" w:rsidTr="00421DC3">
        <w:trPr>
          <w:jc w:val="center"/>
        </w:trPr>
        <w:tc>
          <w:tcPr>
            <w:tcW w:w="3085" w:type="dxa"/>
          </w:tcPr>
          <w:p w:rsidR="009206CA" w:rsidRPr="00CA79E5" w:rsidRDefault="009206CA" w:rsidP="00421DC3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b/>
                <w:sz w:val="20"/>
                <w:szCs w:val="20"/>
                <w:lang w:eastAsia="pt-BR"/>
              </w:rPr>
              <w:t>6. Inteligência de Mercado</w:t>
            </w:r>
          </w:p>
        </w:tc>
        <w:tc>
          <w:tcPr>
            <w:tcW w:w="5918" w:type="dxa"/>
          </w:tcPr>
          <w:p w:rsidR="009206CA" w:rsidRPr="00CA79E5" w:rsidRDefault="009206CA" w:rsidP="00421DC3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Capacidade analítica de avaliar o posicionamento e o movimento de outras instituições de ensino no que diz respeito à oferta, fechamento de cursos, posicionamento da instituição e presença de marca. Também está contemplada uma avaliação permanente de mercado</w:t>
            </w:r>
            <w:r w:rsidR="00170449">
              <w:rPr>
                <w:rFonts w:ascii="Book Antiqua" w:hAnsi="Book Antiqua"/>
                <w:sz w:val="20"/>
                <w:szCs w:val="20"/>
                <w:lang w:eastAsia="pt-BR"/>
              </w:rPr>
              <w:t>,</w:t>
            </w: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 xml:space="preserve"> a fim de nortear as diferentes ofertas da instituição, transformando informações em ferramentas de inteligência para a tomada de decisão institucional.</w:t>
            </w:r>
          </w:p>
        </w:tc>
      </w:tr>
      <w:tr w:rsidR="009206CA" w:rsidRPr="00CA79E5" w:rsidTr="00421DC3">
        <w:trPr>
          <w:jc w:val="center"/>
        </w:trPr>
        <w:tc>
          <w:tcPr>
            <w:tcW w:w="3085" w:type="dxa"/>
          </w:tcPr>
          <w:p w:rsidR="009206CA" w:rsidRPr="00CA79E5" w:rsidRDefault="009206CA" w:rsidP="00421DC3">
            <w:pPr>
              <w:spacing w:before="120" w:after="120" w:line="240" w:lineRule="auto"/>
              <w:jc w:val="both"/>
              <w:rPr>
                <w:rFonts w:ascii="Book Antiqua" w:hAnsi="Book Antiqua"/>
                <w:b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b/>
                <w:sz w:val="20"/>
                <w:szCs w:val="20"/>
                <w:lang w:eastAsia="pt-BR"/>
              </w:rPr>
              <w:t>7. Fortalecimento da Marca</w:t>
            </w:r>
          </w:p>
        </w:tc>
        <w:tc>
          <w:tcPr>
            <w:tcW w:w="5918" w:type="dxa"/>
          </w:tcPr>
          <w:p w:rsidR="009206CA" w:rsidRPr="00CA79E5" w:rsidRDefault="009206CA" w:rsidP="00421DC3">
            <w:pPr>
              <w:spacing w:before="120" w:after="120" w:line="240" w:lineRule="auto"/>
              <w:jc w:val="both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Gestão de marca – agregação de valor à marca institucional, às extensões de marcas e aos diferentes produtos da instituição, neste ano de forma mais intensa com a nova Campanha Institucional.</w:t>
            </w:r>
          </w:p>
        </w:tc>
      </w:tr>
    </w:tbl>
    <w:p w:rsidR="009206CA" w:rsidRDefault="009206CA" w:rsidP="009206CA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</w:p>
    <w:p w:rsidR="009206CA" w:rsidRPr="00CA79E5" w:rsidRDefault="009206CA" w:rsidP="009206CA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Estes programas serão permanentes e executados através de diversas atividades, projetos, ações, subprogramas, que deverão evoluir com o passar do tempo, podendo ser extintos, substituídos por novos ou ter agregação/incorporação de novos projetos.</w:t>
      </w:r>
    </w:p>
    <w:p w:rsidR="006E44B3" w:rsidRPr="00CA79E5" w:rsidRDefault="006E44B3" w:rsidP="00170449">
      <w:pPr>
        <w:widowControl w:val="0"/>
        <w:autoSpaceDN w:val="0"/>
        <w:spacing w:before="120" w:after="120" w:line="240" w:lineRule="auto"/>
        <w:jc w:val="both"/>
        <w:rPr>
          <w:rFonts w:ascii="Book Antiqua" w:hAnsi="Book Antiqua"/>
          <w:b/>
          <w:sz w:val="20"/>
          <w:szCs w:val="20"/>
          <w:lang w:eastAsia="pt-BR"/>
        </w:rPr>
      </w:pPr>
      <w:r w:rsidRPr="00CA79E5">
        <w:rPr>
          <w:rFonts w:ascii="Book Antiqua" w:hAnsi="Book Antiqua"/>
          <w:b/>
          <w:sz w:val="20"/>
          <w:szCs w:val="20"/>
          <w:lang w:eastAsia="pt-BR"/>
        </w:rPr>
        <w:lastRenderedPageBreak/>
        <w:t>Canais de comunicação</w:t>
      </w:r>
    </w:p>
    <w:p w:rsidR="006E44B3" w:rsidRPr="00CA79E5" w:rsidRDefault="006E44B3" w:rsidP="006E44B3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Em 2016 a equipe de jornalismo da CMKT deu seguimento a cobertura dos eventos institucionais, como o Saca Dúvidas, Profissional do Futuro, Vestibulares e outros, bem como eventos, seminários e semanas acadêmicas dos cursos que a Universidade oferece. Com algumas melhorias e avanços em termos de linguagem, apostando em matérias e cobertura mesclando texto, foto, vídeo e infográficos.</w:t>
      </w:r>
    </w:p>
    <w:p w:rsidR="006E44B3" w:rsidRPr="00CA79E5" w:rsidRDefault="006E44B3" w:rsidP="006E44B3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 xml:space="preserve">Na </w:t>
      </w:r>
      <w:r w:rsidR="00170449">
        <w:rPr>
          <w:rFonts w:ascii="Book Antiqua" w:hAnsi="Book Antiqua"/>
          <w:sz w:val="20"/>
          <w:szCs w:val="20"/>
          <w:lang w:eastAsia="pt-BR"/>
        </w:rPr>
        <w:t>c</w:t>
      </w:r>
      <w:r w:rsidRPr="00CA79E5">
        <w:rPr>
          <w:rFonts w:ascii="Book Antiqua" w:hAnsi="Book Antiqua"/>
          <w:sz w:val="20"/>
          <w:szCs w:val="20"/>
          <w:lang w:eastAsia="pt-BR"/>
        </w:rPr>
        <w:t>obertura do Salão do Conhecimento, deu-se sequência a um projeto iniciado em 2014, para a cobertura do evento em conjunto com a Unijuí FM e estudantes do Curso de Jornalismo da Universidade. Na edição 2016 procur</w:t>
      </w:r>
      <w:r w:rsidR="00170449">
        <w:rPr>
          <w:rFonts w:ascii="Book Antiqua" w:hAnsi="Book Antiqua"/>
          <w:sz w:val="20"/>
          <w:szCs w:val="20"/>
          <w:lang w:eastAsia="pt-BR"/>
        </w:rPr>
        <w:t>ou-se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direcionar melhor os estudantes voluntários para as pautas, resultando em material de mais qualidade. Também houve cobertura no Twitter e Facebook da Instituição.</w:t>
      </w:r>
    </w:p>
    <w:p w:rsidR="006E44B3" w:rsidRPr="00CA79E5" w:rsidRDefault="006E44B3" w:rsidP="006E44B3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Novamente</w:t>
      </w:r>
      <w:r w:rsidR="00170449">
        <w:rPr>
          <w:rFonts w:ascii="Book Antiqua" w:hAnsi="Book Antiqua"/>
          <w:sz w:val="20"/>
          <w:szCs w:val="20"/>
          <w:lang w:eastAsia="pt-BR"/>
        </w:rPr>
        <w:t>,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</w:t>
      </w:r>
      <w:r w:rsidR="00170449">
        <w:rPr>
          <w:rFonts w:ascii="Book Antiqua" w:hAnsi="Book Antiqua"/>
          <w:sz w:val="20"/>
          <w:szCs w:val="20"/>
          <w:lang w:eastAsia="pt-BR"/>
        </w:rPr>
        <w:t>deu-se continuidade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</w:t>
      </w:r>
      <w:r w:rsidR="00170449">
        <w:rPr>
          <w:rFonts w:ascii="Book Antiqua" w:hAnsi="Book Antiqua"/>
          <w:sz w:val="20"/>
          <w:szCs w:val="20"/>
          <w:lang w:eastAsia="pt-BR"/>
        </w:rPr>
        <w:t>a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o trabalho do Blog Tá Ligado, com postagens voltadas aos </w:t>
      </w:r>
      <w:r w:rsidR="00170449">
        <w:rPr>
          <w:rFonts w:ascii="Book Antiqua" w:hAnsi="Book Antiqua"/>
          <w:sz w:val="20"/>
          <w:szCs w:val="20"/>
          <w:lang w:eastAsia="pt-BR"/>
        </w:rPr>
        <w:t>estudantes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. Deu-se destaque para postagens com dicas para TCC, trabalhos </w:t>
      </w:r>
      <w:r w:rsidR="00170449">
        <w:rPr>
          <w:rFonts w:ascii="Book Antiqua" w:hAnsi="Book Antiqua"/>
          <w:sz w:val="20"/>
          <w:szCs w:val="20"/>
          <w:lang w:eastAsia="pt-BR"/>
        </w:rPr>
        <w:t>da universidade</w:t>
      </w:r>
      <w:r w:rsidRPr="00CA79E5">
        <w:rPr>
          <w:rFonts w:ascii="Book Antiqua" w:hAnsi="Book Antiqua"/>
          <w:sz w:val="20"/>
          <w:szCs w:val="20"/>
          <w:lang w:eastAsia="pt-BR"/>
        </w:rPr>
        <w:t>, orientações, ofertas de bolsas e editais, além de dicas de carreira, atuação profissional, projetos e ações.</w:t>
      </w:r>
    </w:p>
    <w:p w:rsidR="006E44B3" w:rsidRPr="00CA79E5" w:rsidRDefault="006E44B3" w:rsidP="006E44B3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 xml:space="preserve">No último ano também foram realizados alguns trabalhos especiais, como a reportagem multimídia o Caminho do Lixo, para falar sobre a coleta seletiva na Universidade. O trabalho pode ser conferido em: </w:t>
      </w:r>
      <w:hyperlink r:id="rId7" w:history="1">
        <w:r w:rsidR="00170449" w:rsidRPr="00F80E98">
          <w:rPr>
            <w:rStyle w:val="Hyperlink"/>
            <w:rFonts w:ascii="Book Antiqua" w:hAnsi="Book Antiqua"/>
            <w:sz w:val="20"/>
            <w:szCs w:val="20"/>
            <w:lang w:eastAsia="pt-BR"/>
          </w:rPr>
          <w:t>http://immersive.sh/www.unijui.edu.br/uy1Mzes9m</w:t>
        </w:r>
      </w:hyperlink>
      <w:r w:rsidR="00170449">
        <w:rPr>
          <w:rFonts w:ascii="Book Antiqua" w:hAnsi="Book Antiqua"/>
          <w:sz w:val="20"/>
          <w:szCs w:val="20"/>
          <w:lang w:eastAsia="pt-BR"/>
        </w:rPr>
        <w:t xml:space="preserve"> </w:t>
      </w:r>
    </w:p>
    <w:p w:rsidR="006E44B3" w:rsidRPr="00CA79E5" w:rsidRDefault="006E44B3" w:rsidP="006E44B3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Em 2016 foi finalizado o Novo Portal da Universidade, Projeto trabalhado em conjunto com a C</w:t>
      </w:r>
      <w:r w:rsidR="00170449">
        <w:rPr>
          <w:rFonts w:ascii="Book Antiqua" w:hAnsi="Book Antiqua"/>
          <w:sz w:val="20"/>
          <w:szCs w:val="20"/>
          <w:lang w:eastAsia="pt-BR"/>
        </w:rPr>
        <w:t>oordenadoria de Informática</w:t>
      </w:r>
      <w:r w:rsidRPr="00CA79E5">
        <w:rPr>
          <w:rFonts w:ascii="Book Antiqua" w:hAnsi="Book Antiqua"/>
          <w:sz w:val="20"/>
          <w:szCs w:val="20"/>
          <w:lang w:eastAsia="pt-BR"/>
        </w:rPr>
        <w:t>.</w:t>
      </w:r>
    </w:p>
    <w:p w:rsidR="006E44B3" w:rsidRPr="00CA79E5" w:rsidRDefault="006E44B3" w:rsidP="006E44B3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 xml:space="preserve">O Relatório Social teve um novo formato de texto, na forma de narrativa, trazendo depoimentos de </w:t>
      </w:r>
      <w:r w:rsidR="00170449">
        <w:rPr>
          <w:rFonts w:ascii="Book Antiqua" w:hAnsi="Book Antiqua"/>
          <w:sz w:val="20"/>
          <w:szCs w:val="20"/>
          <w:lang w:eastAsia="pt-BR"/>
        </w:rPr>
        <w:t>estudantes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, docentes, egressos e pessoas da comunidade atendidas e/ou envolvidas com projetos desenvolvidos pelas mantidas da Fidene. </w:t>
      </w:r>
    </w:p>
    <w:p w:rsidR="006E44B3" w:rsidRPr="00CA79E5" w:rsidRDefault="006E44B3" w:rsidP="00170449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 xml:space="preserve">Como forma de alavancar a divulgação dos Projetos de Pesquisa e </w:t>
      </w:r>
      <w:r w:rsidR="00170449">
        <w:rPr>
          <w:rFonts w:ascii="Book Antiqua" w:hAnsi="Book Antiqua"/>
          <w:sz w:val="20"/>
          <w:szCs w:val="20"/>
          <w:lang w:eastAsia="pt-BR"/>
        </w:rPr>
        <w:t xml:space="preserve">de </w:t>
      </w:r>
      <w:r w:rsidRPr="00CA79E5">
        <w:rPr>
          <w:rFonts w:ascii="Book Antiqua" w:hAnsi="Book Antiqua"/>
          <w:sz w:val="20"/>
          <w:szCs w:val="20"/>
          <w:lang w:eastAsia="pt-BR"/>
        </w:rPr>
        <w:t>Extensão da Universidade foi criado, em conju</w:t>
      </w:r>
      <w:r w:rsidR="00170449">
        <w:rPr>
          <w:rFonts w:ascii="Book Antiqua" w:hAnsi="Book Antiqua"/>
          <w:sz w:val="20"/>
          <w:szCs w:val="20"/>
          <w:lang w:eastAsia="pt-BR"/>
        </w:rPr>
        <w:t xml:space="preserve">nto com a Vice-Reitoria de Pós-Graduação, </w:t>
      </w:r>
      <w:r w:rsidRPr="00CA79E5">
        <w:rPr>
          <w:rFonts w:ascii="Book Antiqua" w:hAnsi="Book Antiqua"/>
          <w:sz w:val="20"/>
          <w:szCs w:val="20"/>
          <w:lang w:eastAsia="pt-BR"/>
        </w:rPr>
        <w:t>Pesquisa e Extensão, o Projeto Popularização da Ciência. Uma vez por semana, public</w:t>
      </w:r>
      <w:r w:rsidR="00170449">
        <w:rPr>
          <w:rFonts w:ascii="Book Antiqua" w:hAnsi="Book Antiqua"/>
          <w:sz w:val="20"/>
          <w:szCs w:val="20"/>
          <w:lang w:eastAsia="pt-BR"/>
        </w:rPr>
        <w:t>ou-se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, a partir de abril de 2016, matérias aprofundadas sobre os projetos desenvolvidos por pesquisadores e bolsistas da Instituição. O primeiro pacote de publicações pode ser conferido </w:t>
      </w:r>
      <w:r w:rsidR="00170449">
        <w:rPr>
          <w:rFonts w:ascii="Book Antiqua" w:hAnsi="Book Antiqua"/>
          <w:sz w:val="20"/>
          <w:szCs w:val="20"/>
          <w:lang w:eastAsia="pt-BR"/>
        </w:rPr>
        <w:t>em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</w:t>
      </w:r>
      <w:hyperlink r:id="rId8" w:history="1">
        <w:r w:rsidR="00170449" w:rsidRPr="00F80E98">
          <w:rPr>
            <w:rStyle w:val="Hyperlink"/>
            <w:rFonts w:ascii="Book Antiqua" w:hAnsi="Book Antiqua"/>
            <w:sz w:val="20"/>
            <w:szCs w:val="20"/>
            <w:lang w:eastAsia="pt-BR"/>
          </w:rPr>
          <w:t>http://www.unijui.edu.br/comunica/institucional/25319-popularizacao-da-ciencia-confira-o-que-foi-destaque-em-2016</w:t>
        </w:r>
      </w:hyperlink>
      <w:r w:rsidR="00170449">
        <w:rPr>
          <w:rFonts w:ascii="Book Antiqua" w:hAnsi="Book Antiqua"/>
          <w:sz w:val="20"/>
          <w:szCs w:val="20"/>
          <w:lang w:eastAsia="pt-BR"/>
        </w:rPr>
        <w:t xml:space="preserve"> </w:t>
      </w:r>
    </w:p>
    <w:p w:rsidR="006E44B3" w:rsidRPr="00CA79E5" w:rsidRDefault="006E44B3" w:rsidP="00170449">
      <w:pPr>
        <w:widowControl w:val="0"/>
        <w:autoSpaceDN w:val="0"/>
        <w:spacing w:before="120" w:after="120" w:line="240" w:lineRule="auto"/>
        <w:jc w:val="both"/>
        <w:rPr>
          <w:rFonts w:ascii="Book Antiqua" w:hAnsi="Book Antiqua"/>
          <w:b/>
          <w:sz w:val="20"/>
          <w:szCs w:val="20"/>
          <w:lang w:eastAsia="pt-BR"/>
        </w:rPr>
      </w:pPr>
      <w:r w:rsidRPr="00CA79E5">
        <w:rPr>
          <w:rFonts w:ascii="Book Antiqua" w:hAnsi="Book Antiqua"/>
          <w:b/>
          <w:sz w:val="20"/>
          <w:szCs w:val="20"/>
          <w:lang w:eastAsia="pt-BR"/>
        </w:rPr>
        <w:t>Imprensa</w:t>
      </w:r>
    </w:p>
    <w:p w:rsidR="006E44B3" w:rsidRPr="00CA79E5" w:rsidRDefault="006E44B3" w:rsidP="006E44B3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No atendimento à imprensa, procurou-se aprofundar e estreitar os laços com a imprensa e jornalistas dos veículos onde a Universidade atua</w:t>
      </w:r>
      <w:r w:rsidR="00170449">
        <w:rPr>
          <w:rFonts w:ascii="Book Antiqua" w:hAnsi="Book Antiqua"/>
          <w:sz w:val="20"/>
          <w:szCs w:val="20"/>
          <w:lang w:eastAsia="pt-BR"/>
        </w:rPr>
        <w:t>,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através do já citado Unijuí News, mas também por telefone e em visitas aos veículos, bem como através das redes sociais, aproveitando a facilidade e agilidade de comunicação que tais canais permitem.</w:t>
      </w:r>
    </w:p>
    <w:p w:rsidR="009206CA" w:rsidRPr="00CA79E5" w:rsidRDefault="006E44B3" w:rsidP="006E44B3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A equipe de jornalismo da CMKT procurou atender a todas as demandas dos veículos de comunicação do Noroeste do RS, pautando diariamente cerca de mais de 60 veículos jornalísticos da região.</w:t>
      </w:r>
    </w:p>
    <w:p w:rsidR="009206CA" w:rsidRPr="00CA79E5" w:rsidRDefault="009206CA" w:rsidP="00170449">
      <w:pPr>
        <w:widowControl w:val="0"/>
        <w:autoSpaceDN w:val="0"/>
        <w:spacing w:before="120" w:after="120" w:line="240" w:lineRule="auto"/>
        <w:jc w:val="both"/>
        <w:rPr>
          <w:rFonts w:ascii="Book Antiqua" w:hAnsi="Book Antiqua"/>
          <w:b/>
          <w:sz w:val="20"/>
          <w:szCs w:val="20"/>
          <w:lang w:eastAsia="pt-BR"/>
        </w:rPr>
      </w:pPr>
      <w:r w:rsidRPr="00CA79E5">
        <w:rPr>
          <w:rFonts w:ascii="Book Antiqua" w:hAnsi="Book Antiqua"/>
          <w:b/>
          <w:sz w:val="20"/>
          <w:szCs w:val="20"/>
          <w:lang w:eastAsia="pt-BR"/>
        </w:rPr>
        <w:t xml:space="preserve">Campanhas </w:t>
      </w:r>
    </w:p>
    <w:p w:rsidR="009206CA" w:rsidRPr="00CA79E5" w:rsidRDefault="009206CA" w:rsidP="009206CA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 xml:space="preserve">A </w:t>
      </w:r>
      <w:r w:rsidR="002C6588" w:rsidRPr="00CA79E5">
        <w:rPr>
          <w:rFonts w:ascii="Book Antiqua" w:hAnsi="Book Antiqua"/>
          <w:sz w:val="20"/>
          <w:szCs w:val="20"/>
          <w:lang w:eastAsia="pt-BR"/>
        </w:rPr>
        <w:t xml:space="preserve">Unidade de criação e 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publicidade trabalhou em diversos projetos institucionais, focados no desenvolvimento de materiais e campanhas macro como Campanha de Matrículas, Volta às </w:t>
      </w:r>
      <w:r w:rsidR="00170449">
        <w:rPr>
          <w:rFonts w:ascii="Book Antiqua" w:hAnsi="Book Antiqua"/>
          <w:sz w:val="20"/>
          <w:szCs w:val="20"/>
          <w:lang w:eastAsia="pt-BR"/>
        </w:rPr>
        <w:t>A</w:t>
      </w:r>
      <w:r w:rsidRPr="00CA79E5">
        <w:rPr>
          <w:rFonts w:ascii="Book Antiqua" w:hAnsi="Book Antiqua"/>
          <w:sz w:val="20"/>
          <w:szCs w:val="20"/>
          <w:lang w:eastAsia="pt-BR"/>
        </w:rPr>
        <w:t>ulas e Sou Universitário, avaliação institucional, vestibulares, geomarketing, reforço da campanha institucional e campanha</w:t>
      </w:r>
      <w:r w:rsidR="002C6588" w:rsidRPr="00CA79E5">
        <w:rPr>
          <w:rFonts w:ascii="Book Antiqua" w:hAnsi="Book Antiqua"/>
          <w:sz w:val="20"/>
          <w:szCs w:val="20"/>
          <w:lang w:eastAsia="pt-BR"/>
        </w:rPr>
        <w:t>s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de pós-graduação </w:t>
      </w:r>
      <w:r w:rsidRPr="00CA79E5">
        <w:rPr>
          <w:rFonts w:ascii="Book Antiqua" w:hAnsi="Book Antiqua"/>
          <w:i/>
          <w:sz w:val="20"/>
          <w:szCs w:val="20"/>
          <w:lang w:eastAsia="pt-BR"/>
        </w:rPr>
        <w:t>Lato</w:t>
      </w:r>
      <w:r w:rsidR="002C6588" w:rsidRPr="00CA79E5">
        <w:rPr>
          <w:rFonts w:ascii="Book Antiqua" w:hAnsi="Book Antiqua"/>
          <w:i/>
          <w:sz w:val="20"/>
          <w:szCs w:val="20"/>
          <w:lang w:eastAsia="pt-BR"/>
        </w:rPr>
        <w:t xml:space="preserve"> e Stricto</w:t>
      </w:r>
      <w:r w:rsidRPr="00CA79E5">
        <w:rPr>
          <w:rFonts w:ascii="Book Antiqua" w:hAnsi="Book Antiqua"/>
          <w:i/>
          <w:sz w:val="20"/>
          <w:szCs w:val="20"/>
          <w:lang w:eastAsia="pt-BR"/>
        </w:rPr>
        <w:t xml:space="preserve"> Sensu</w:t>
      </w:r>
      <w:r w:rsidRPr="00CA79E5">
        <w:rPr>
          <w:rFonts w:ascii="Book Antiqua" w:hAnsi="Book Antiqua"/>
          <w:sz w:val="20"/>
          <w:szCs w:val="20"/>
          <w:lang w:eastAsia="pt-BR"/>
        </w:rPr>
        <w:t>.</w:t>
      </w:r>
    </w:p>
    <w:p w:rsidR="009206CA" w:rsidRPr="00CA79E5" w:rsidRDefault="009206CA" w:rsidP="009206CA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Foram desenvolvidas pela publicidade as campanhas de vestibular (Inverno, Verão e Mais) nas modalidades EaD e Presencial. O Vestibular de Inverno trouxe o mote “As mudanças estão transformando o seu mundo”. Diferenciais desta campanha: começou a trazer uma linguagem mais simples e direta, indo ao encontro do que o público-alvo esperava. A campanha usou o alinhamento institucional, reforçando as cores da campanha, mas introduziu novos elementos gráficos característicos que o público usa. O diferencial desta campanha foi que se começou a utilizar no flyer/folder apenas as principais informações do Vestibular, tornando o material mais enxuto e atrativo.</w:t>
      </w:r>
    </w:p>
    <w:p w:rsidR="009206CA" w:rsidRPr="00CA79E5" w:rsidRDefault="009206CA" w:rsidP="009206CA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lastRenderedPageBreak/>
        <w:t xml:space="preserve">A campanha do Vestibular de Verão reforçou os principais argumentos da Universidade: tradição, conhecimento, aprendizado, superação, criatividade, conhecimento e realização. A campanha trabalhou com um dos principais questionamentos do ser humano: você faz aquilo que ama? O público-alvo deste vestibular, para além de alunos que estavam terminando o ensino médio, pretendia também trabalhar com seus pais. Os alunos do “terceirão”, chamados de Geração Y, colocam o coração em tudo o que fazem, valorizando mais o sentimento que os ganhos materiais. A campanha mostra a Unijuí como uma instituição séria, reconhecida, com uma história rica e qualidade nos serviços. Mais do que saber o que fazer ou como fazer, a Unijuí sabe por que faz. A campanha foca nos princípios e crenças, nos valores intangíveis que marcam momentos importantes de quem passa por uma universidade e evidenciou, além de tudo, que a Unijuí acredita no que vem fazendo. </w:t>
      </w:r>
    </w:p>
    <w:p w:rsidR="009206CA" w:rsidRPr="00CA79E5" w:rsidRDefault="009206CA" w:rsidP="009206CA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Para isso, o mote da campanha foi “</w:t>
      </w:r>
      <w:r w:rsidRPr="00CA79E5">
        <w:rPr>
          <w:rFonts w:ascii="Book Antiqua" w:hAnsi="Book Antiqua"/>
          <w:i/>
          <w:sz w:val="20"/>
          <w:szCs w:val="20"/>
          <w:lang w:eastAsia="pt-BR"/>
        </w:rPr>
        <w:t>Para você fazer o que ama e acredita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” e evidenciou a geração Y nos materiais gráficos e </w:t>
      </w:r>
      <w:r w:rsidRPr="00170449">
        <w:rPr>
          <w:rFonts w:ascii="Book Antiqua" w:hAnsi="Book Antiqua"/>
          <w:i/>
          <w:sz w:val="20"/>
          <w:szCs w:val="20"/>
          <w:lang w:eastAsia="pt-BR"/>
        </w:rPr>
        <w:t>online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e seus pais contemplados com um VT e materiais impressos (anúncios) mais tradicionais.</w:t>
      </w:r>
    </w:p>
    <w:p w:rsidR="009206CA" w:rsidRPr="00CA79E5" w:rsidRDefault="009206CA" w:rsidP="009206CA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 xml:space="preserve">Diferenciais desta campanha: ação do </w:t>
      </w:r>
      <w:r w:rsidR="00170449" w:rsidRPr="00CA79E5">
        <w:rPr>
          <w:rFonts w:ascii="Book Antiqua" w:hAnsi="Book Antiqua"/>
          <w:sz w:val="20"/>
          <w:szCs w:val="20"/>
          <w:lang w:eastAsia="pt-BR"/>
        </w:rPr>
        <w:t>WhatsApp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, </w:t>
      </w:r>
      <w:r w:rsidR="00170449">
        <w:rPr>
          <w:rFonts w:ascii="Book Antiqua" w:hAnsi="Book Antiqua"/>
          <w:sz w:val="20"/>
          <w:szCs w:val="20"/>
          <w:lang w:eastAsia="pt-BR"/>
        </w:rPr>
        <w:t>momento em que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a p</w:t>
      </w:r>
      <w:r w:rsidR="00170449">
        <w:rPr>
          <w:rFonts w:ascii="Book Antiqua" w:hAnsi="Book Antiqua"/>
          <w:sz w:val="20"/>
          <w:szCs w:val="20"/>
          <w:lang w:eastAsia="pt-BR"/>
        </w:rPr>
        <w:t xml:space="preserve">rofessora Cátia Maria Nehring, </w:t>
      </w:r>
      <w:r w:rsidRPr="00CA79E5">
        <w:rPr>
          <w:rFonts w:ascii="Book Antiqua" w:hAnsi="Book Antiqua"/>
          <w:sz w:val="20"/>
          <w:szCs w:val="20"/>
          <w:lang w:eastAsia="pt-BR"/>
        </w:rPr>
        <w:t>Vice-Reitora de Graduação</w:t>
      </w:r>
      <w:r w:rsidR="00170449">
        <w:rPr>
          <w:rFonts w:ascii="Book Antiqua" w:hAnsi="Book Antiqua"/>
          <w:sz w:val="20"/>
          <w:szCs w:val="20"/>
          <w:lang w:eastAsia="pt-BR"/>
        </w:rPr>
        <w:t>,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tir</w:t>
      </w:r>
      <w:r w:rsidR="00170449">
        <w:rPr>
          <w:rFonts w:ascii="Book Antiqua" w:hAnsi="Book Antiqua"/>
          <w:sz w:val="20"/>
          <w:szCs w:val="20"/>
          <w:lang w:eastAsia="pt-BR"/>
        </w:rPr>
        <w:t>ou as dúvidas dos vestibulandos;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adesivo para distribuição na divulgação, pela equipe de relacionamento</w:t>
      </w:r>
      <w:r w:rsidR="00170449">
        <w:rPr>
          <w:rFonts w:ascii="Book Antiqua" w:hAnsi="Book Antiqua"/>
          <w:sz w:val="20"/>
          <w:szCs w:val="20"/>
          <w:lang w:eastAsia="pt-BR"/>
        </w:rPr>
        <w:t>;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e três versões do VT principal</w:t>
      </w:r>
      <w:r w:rsidR="00170449">
        <w:rPr>
          <w:rFonts w:ascii="Book Antiqua" w:hAnsi="Book Antiqua"/>
          <w:sz w:val="20"/>
          <w:szCs w:val="20"/>
          <w:lang w:eastAsia="pt-BR"/>
        </w:rPr>
        <w:t>,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que foram veiculados nas redes sociais.</w:t>
      </w:r>
    </w:p>
    <w:p w:rsidR="009206CA" w:rsidRPr="00CA79E5" w:rsidRDefault="002C6588" w:rsidP="009206CA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Em 2016 foram</w:t>
      </w:r>
      <w:r w:rsidR="009206CA" w:rsidRPr="00CA79E5">
        <w:rPr>
          <w:rFonts w:ascii="Book Antiqua" w:hAnsi="Book Antiqua"/>
          <w:sz w:val="20"/>
          <w:szCs w:val="20"/>
          <w:lang w:eastAsia="pt-BR"/>
        </w:rPr>
        <w:t xml:space="preserve"> desenvolvida</w:t>
      </w:r>
      <w:r w:rsidRPr="00CA79E5">
        <w:rPr>
          <w:rFonts w:ascii="Book Antiqua" w:hAnsi="Book Antiqua"/>
          <w:sz w:val="20"/>
          <w:szCs w:val="20"/>
          <w:lang w:eastAsia="pt-BR"/>
        </w:rPr>
        <w:t>s</w:t>
      </w:r>
      <w:r w:rsidR="009206CA" w:rsidRPr="00CA79E5">
        <w:rPr>
          <w:rFonts w:ascii="Book Antiqua" w:hAnsi="Book Antiqua"/>
          <w:sz w:val="20"/>
          <w:szCs w:val="20"/>
          <w:lang w:eastAsia="pt-BR"/>
        </w:rPr>
        <w:t xml:space="preserve"> a</w:t>
      </w:r>
      <w:r w:rsidRPr="00CA79E5">
        <w:rPr>
          <w:rFonts w:ascii="Book Antiqua" w:hAnsi="Book Antiqua"/>
          <w:sz w:val="20"/>
          <w:szCs w:val="20"/>
          <w:lang w:eastAsia="pt-BR"/>
        </w:rPr>
        <w:t>s</w:t>
      </w:r>
      <w:r w:rsidR="009206CA" w:rsidRPr="00CA79E5">
        <w:rPr>
          <w:rFonts w:ascii="Book Antiqua" w:hAnsi="Book Antiqua"/>
          <w:sz w:val="20"/>
          <w:szCs w:val="20"/>
          <w:lang w:eastAsia="pt-BR"/>
        </w:rPr>
        <w:t xml:space="preserve"> campanha</w:t>
      </w:r>
      <w:r w:rsidRPr="00CA79E5">
        <w:rPr>
          <w:rFonts w:ascii="Book Antiqua" w:hAnsi="Book Antiqua"/>
          <w:sz w:val="20"/>
          <w:szCs w:val="20"/>
          <w:lang w:eastAsia="pt-BR"/>
        </w:rPr>
        <w:t>s</w:t>
      </w:r>
      <w:r w:rsidR="009206CA" w:rsidRPr="00CA79E5">
        <w:rPr>
          <w:rFonts w:ascii="Book Antiqua" w:hAnsi="Book Antiqua"/>
          <w:sz w:val="20"/>
          <w:szCs w:val="20"/>
          <w:lang w:eastAsia="pt-BR"/>
        </w:rPr>
        <w:t xml:space="preserve"> de Pós-Graduação </w:t>
      </w:r>
      <w:r w:rsidR="009206CA" w:rsidRPr="00CA79E5">
        <w:rPr>
          <w:rFonts w:ascii="Book Antiqua" w:hAnsi="Book Antiqua"/>
          <w:i/>
          <w:sz w:val="20"/>
          <w:szCs w:val="20"/>
          <w:lang w:eastAsia="pt-BR"/>
        </w:rPr>
        <w:t xml:space="preserve">Lato </w:t>
      </w:r>
      <w:r w:rsidRPr="00CA79E5">
        <w:rPr>
          <w:rFonts w:ascii="Book Antiqua" w:hAnsi="Book Antiqua"/>
          <w:i/>
          <w:sz w:val="20"/>
          <w:szCs w:val="20"/>
          <w:lang w:eastAsia="pt-BR"/>
        </w:rPr>
        <w:t xml:space="preserve">e Stricto </w:t>
      </w:r>
      <w:r w:rsidR="009206CA" w:rsidRPr="00CA79E5">
        <w:rPr>
          <w:rFonts w:ascii="Book Antiqua" w:hAnsi="Book Antiqua"/>
          <w:i/>
          <w:sz w:val="20"/>
          <w:szCs w:val="20"/>
          <w:lang w:eastAsia="pt-BR"/>
        </w:rPr>
        <w:t>Sensu</w:t>
      </w:r>
      <w:r w:rsidR="009206CA" w:rsidRPr="00CA79E5">
        <w:rPr>
          <w:rFonts w:ascii="Book Antiqua" w:hAnsi="Book Antiqua"/>
          <w:sz w:val="20"/>
          <w:szCs w:val="20"/>
          <w:lang w:eastAsia="pt-BR"/>
        </w:rPr>
        <w:t xml:space="preserve">, marcando um novo posicionamento que institucionaliza e qualifica as ofertas 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dentro da especificidade de cada </w:t>
      </w:r>
      <w:r w:rsidR="009206CA" w:rsidRPr="00CA79E5">
        <w:rPr>
          <w:rFonts w:ascii="Book Antiqua" w:hAnsi="Book Antiqua"/>
          <w:sz w:val="20"/>
          <w:szCs w:val="20"/>
          <w:lang w:eastAsia="pt-BR"/>
        </w:rPr>
        <w:t>produto. Para 201</w:t>
      </w:r>
      <w:r w:rsidRPr="00CA79E5">
        <w:rPr>
          <w:rFonts w:ascii="Book Antiqua" w:hAnsi="Book Antiqua"/>
          <w:sz w:val="20"/>
          <w:szCs w:val="20"/>
          <w:lang w:eastAsia="pt-BR"/>
        </w:rPr>
        <w:t>7</w:t>
      </w:r>
      <w:r w:rsidR="009206CA" w:rsidRPr="00CA79E5">
        <w:rPr>
          <w:rFonts w:ascii="Book Antiqua" w:hAnsi="Book Antiqua"/>
          <w:sz w:val="20"/>
          <w:szCs w:val="20"/>
          <w:lang w:eastAsia="pt-BR"/>
        </w:rPr>
        <w:t xml:space="preserve"> projeta-se a realização da campanha em material impresso diferenciado, veiculação de mídia, rádios, outdoors, espaços institucionais, anúncios diversos e material de divulgação </w:t>
      </w:r>
      <w:r w:rsidR="009206CA" w:rsidRPr="00B4404D">
        <w:rPr>
          <w:rFonts w:ascii="Book Antiqua" w:hAnsi="Book Antiqua"/>
          <w:i/>
          <w:sz w:val="20"/>
          <w:szCs w:val="20"/>
          <w:lang w:eastAsia="pt-BR"/>
        </w:rPr>
        <w:t>online</w:t>
      </w:r>
      <w:r w:rsidR="009206CA" w:rsidRPr="00CA79E5">
        <w:rPr>
          <w:rFonts w:ascii="Book Antiqua" w:hAnsi="Book Antiqua"/>
          <w:sz w:val="20"/>
          <w:szCs w:val="20"/>
          <w:lang w:eastAsia="pt-BR"/>
        </w:rPr>
        <w:t>.</w:t>
      </w:r>
    </w:p>
    <w:p w:rsidR="009206CA" w:rsidRPr="00CA79E5" w:rsidRDefault="009206CA" w:rsidP="009206CA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Foram desenvolvidas campanhas publicitárias para divulgação d</w:t>
      </w:r>
      <w:r w:rsidR="002C6588" w:rsidRPr="00CA79E5">
        <w:rPr>
          <w:rFonts w:ascii="Book Antiqua" w:hAnsi="Book Antiqua"/>
          <w:sz w:val="20"/>
          <w:szCs w:val="20"/>
          <w:lang w:eastAsia="pt-BR"/>
        </w:rPr>
        <w:t>os programas de relacionamento da Unijuí (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Saca Dúvidas, Profissional do Futuro e </w:t>
      </w:r>
      <w:r w:rsidR="002C6588" w:rsidRPr="00CA79E5">
        <w:rPr>
          <w:rFonts w:ascii="Book Antiqua" w:hAnsi="Book Antiqua"/>
          <w:sz w:val="20"/>
          <w:szCs w:val="20"/>
          <w:lang w:eastAsia="pt-BR"/>
        </w:rPr>
        <w:t xml:space="preserve">programa Palestras </w:t>
      </w:r>
      <w:r w:rsidR="00B4404D">
        <w:rPr>
          <w:rFonts w:ascii="Book Antiqua" w:hAnsi="Book Antiqua"/>
          <w:sz w:val="20"/>
          <w:szCs w:val="20"/>
          <w:lang w:eastAsia="pt-BR"/>
        </w:rPr>
        <w:t>nas escolas) em aplicação multi-</w:t>
      </w:r>
      <w:r w:rsidR="002C6588" w:rsidRPr="00CA79E5">
        <w:rPr>
          <w:rFonts w:ascii="Book Antiqua" w:hAnsi="Book Antiqua"/>
          <w:sz w:val="20"/>
          <w:szCs w:val="20"/>
          <w:lang w:eastAsia="pt-BR"/>
        </w:rPr>
        <w:t>plataformas (eletrônica e física).</w:t>
      </w:r>
    </w:p>
    <w:p w:rsidR="009206CA" w:rsidRPr="00CA79E5" w:rsidRDefault="009206CA" w:rsidP="009206CA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A publicidade desenvolveu materiais gráficos para os eventos e semanas acadêmicas dos cursos, além dos eventos Institucio</w:t>
      </w:r>
      <w:r w:rsidR="002C6588" w:rsidRPr="00CA79E5">
        <w:rPr>
          <w:rFonts w:ascii="Book Antiqua" w:hAnsi="Book Antiqua"/>
          <w:sz w:val="20"/>
          <w:szCs w:val="20"/>
          <w:lang w:eastAsia="pt-BR"/>
        </w:rPr>
        <w:t xml:space="preserve">nais como </w:t>
      </w:r>
      <w:r w:rsidR="00B4404D">
        <w:rPr>
          <w:rFonts w:ascii="Book Antiqua" w:hAnsi="Book Antiqua"/>
          <w:sz w:val="20"/>
          <w:szCs w:val="20"/>
          <w:lang w:eastAsia="pt-BR"/>
        </w:rPr>
        <w:t xml:space="preserve">o </w:t>
      </w:r>
      <w:r w:rsidR="002C6588" w:rsidRPr="00CA79E5">
        <w:rPr>
          <w:rFonts w:ascii="Book Antiqua" w:hAnsi="Book Antiqua"/>
          <w:sz w:val="20"/>
          <w:szCs w:val="20"/>
          <w:lang w:eastAsia="pt-BR"/>
        </w:rPr>
        <w:t>Salão do Conhecimento.</w:t>
      </w:r>
    </w:p>
    <w:p w:rsidR="009206CA" w:rsidRPr="00CA79E5" w:rsidRDefault="009206CA" w:rsidP="009206CA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 xml:space="preserve">Foram produzidas campanhas e materiais especiais para as comemorações dos eventos de 25 anos do </w:t>
      </w:r>
      <w:r w:rsidRPr="00CA79E5">
        <w:rPr>
          <w:rFonts w:ascii="Book Antiqua" w:hAnsi="Book Antiqua"/>
          <w:i/>
          <w:sz w:val="20"/>
          <w:szCs w:val="20"/>
          <w:lang w:eastAsia="pt-BR"/>
        </w:rPr>
        <w:t>Campus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Santa Rosa e dos 30 anos de reconhecimento como Universidade.</w:t>
      </w:r>
    </w:p>
    <w:p w:rsidR="009206CA" w:rsidRPr="00CA79E5" w:rsidRDefault="009206CA" w:rsidP="009206CA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 xml:space="preserve">Foram fortalecidas as ações de sinalização institucional, com manutenção e atualização dos totens, placas locacionais, direcionais e identificação das salas dos quatro </w:t>
      </w:r>
      <w:r w:rsidRPr="00CA79E5">
        <w:rPr>
          <w:rFonts w:ascii="Book Antiqua" w:hAnsi="Book Antiqua"/>
          <w:i/>
          <w:sz w:val="20"/>
          <w:szCs w:val="20"/>
          <w:lang w:eastAsia="pt-BR"/>
        </w:rPr>
        <w:t>campi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e da Sede Acadêmica. </w:t>
      </w:r>
    </w:p>
    <w:p w:rsidR="009206CA" w:rsidRPr="00CA79E5" w:rsidRDefault="009206CA" w:rsidP="009206CA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Desenvolvimento de materiais publicitários para a Fidene, com destaque para o Relatório Social</w:t>
      </w:r>
      <w:r w:rsidR="00B4404D">
        <w:rPr>
          <w:rFonts w:ascii="Book Antiqua" w:hAnsi="Book Antiqua"/>
          <w:sz w:val="20"/>
          <w:szCs w:val="20"/>
          <w:lang w:eastAsia="pt-BR"/>
        </w:rPr>
        <w:t>,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com novo formato e layout, assim como os materiais para as mantidas Museu e Unijuí FM.</w:t>
      </w:r>
    </w:p>
    <w:p w:rsidR="009206CA" w:rsidRPr="00CA79E5" w:rsidRDefault="009206CA" w:rsidP="009206CA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</w:p>
    <w:p w:rsidR="009206CA" w:rsidRPr="00CA79E5" w:rsidRDefault="009206CA" w:rsidP="00B4404D">
      <w:pPr>
        <w:widowControl w:val="0"/>
        <w:autoSpaceDN w:val="0"/>
        <w:spacing w:before="120" w:after="120" w:line="240" w:lineRule="auto"/>
        <w:jc w:val="both"/>
        <w:rPr>
          <w:rFonts w:ascii="Book Antiqua" w:hAnsi="Book Antiqua"/>
          <w:b/>
          <w:sz w:val="20"/>
          <w:szCs w:val="20"/>
          <w:lang w:eastAsia="pt-BR"/>
        </w:rPr>
      </w:pPr>
      <w:r w:rsidRPr="00CA79E5">
        <w:rPr>
          <w:rFonts w:ascii="Book Antiqua" w:hAnsi="Book Antiqua"/>
          <w:b/>
          <w:sz w:val="20"/>
          <w:szCs w:val="20"/>
          <w:lang w:eastAsia="pt-BR"/>
        </w:rPr>
        <w:t>Cerimonial e Protocolo</w:t>
      </w:r>
    </w:p>
    <w:p w:rsidR="009206CA" w:rsidRDefault="004F081B" w:rsidP="009206CA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 xml:space="preserve">O núcleo de Relações Públicas tem prestado assessoria diretamente aos eventos dos </w:t>
      </w:r>
      <w:r w:rsidR="00B4404D">
        <w:rPr>
          <w:rFonts w:ascii="Book Antiqua" w:hAnsi="Book Antiqua"/>
          <w:sz w:val="20"/>
          <w:szCs w:val="20"/>
          <w:lang w:eastAsia="pt-BR"/>
        </w:rPr>
        <w:t>c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ursos, </w:t>
      </w:r>
      <w:r w:rsidR="00B4404D">
        <w:rPr>
          <w:rFonts w:ascii="Book Antiqua" w:hAnsi="Book Antiqua"/>
          <w:sz w:val="20"/>
          <w:szCs w:val="20"/>
          <w:lang w:eastAsia="pt-BR"/>
        </w:rPr>
        <w:t>d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epartamentos e/ou </w:t>
      </w:r>
      <w:r w:rsidR="00B4404D">
        <w:rPr>
          <w:rFonts w:ascii="Book Antiqua" w:hAnsi="Book Antiqua"/>
          <w:sz w:val="20"/>
          <w:szCs w:val="20"/>
          <w:lang w:eastAsia="pt-BR"/>
        </w:rPr>
        <w:t>s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etores. Em 2016, os cerimoniais realizados pelo núcleo de RP foram aproximadamente 58, nos quatro </w:t>
      </w:r>
      <w:r w:rsidRPr="00CA79E5">
        <w:rPr>
          <w:rFonts w:ascii="Book Antiqua" w:hAnsi="Book Antiqua"/>
          <w:i/>
          <w:sz w:val="20"/>
          <w:szCs w:val="20"/>
          <w:lang w:eastAsia="pt-BR"/>
        </w:rPr>
        <w:t>campi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da Universidade.</w:t>
      </w:r>
    </w:p>
    <w:p w:rsidR="002A2682" w:rsidRDefault="002A2682" w:rsidP="009206CA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</w:p>
    <w:p w:rsidR="009206CA" w:rsidRPr="00CA79E5" w:rsidRDefault="009206CA" w:rsidP="00B4404D">
      <w:pPr>
        <w:widowControl w:val="0"/>
        <w:autoSpaceDN w:val="0"/>
        <w:spacing w:before="120" w:after="120" w:line="240" w:lineRule="auto"/>
        <w:jc w:val="both"/>
        <w:rPr>
          <w:rFonts w:ascii="Book Antiqua" w:hAnsi="Book Antiqua"/>
          <w:b/>
          <w:sz w:val="20"/>
          <w:szCs w:val="20"/>
          <w:lang w:eastAsia="pt-BR"/>
        </w:rPr>
      </w:pPr>
      <w:r w:rsidRPr="00CA79E5">
        <w:rPr>
          <w:rFonts w:ascii="Book Antiqua" w:hAnsi="Book Antiqua"/>
          <w:b/>
          <w:sz w:val="20"/>
          <w:szCs w:val="20"/>
          <w:lang w:eastAsia="pt-BR"/>
        </w:rPr>
        <w:t>Feiras</w:t>
      </w:r>
    </w:p>
    <w:p w:rsidR="004F081B" w:rsidRPr="00CA79E5" w:rsidRDefault="004F081B" w:rsidP="004F081B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Em 2016 a instituição participou das seguintes feiras de negócios:</w:t>
      </w:r>
    </w:p>
    <w:p w:rsidR="004F081B" w:rsidRPr="00CA79E5" w:rsidRDefault="00B4404D" w:rsidP="004F081B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>
        <w:rPr>
          <w:rFonts w:ascii="Book Antiqua" w:hAnsi="Book Antiqua"/>
          <w:sz w:val="20"/>
          <w:szCs w:val="20"/>
          <w:lang w:eastAsia="pt-BR"/>
        </w:rPr>
        <w:t>- Abril/maio</w:t>
      </w:r>
      <w:r w:rsidR="004F081B" w:rsidRPr="00CA79E5">
        <w:rPr>
          <w:rFonts w:ascii="Book Antiqua" w:hAnsi="Book Antiqua"/>
          <w:sz w:val="20"/>
          <w:szCs w:val="20"/>
          <w:lang w:eastAsia="pt-BR"/>
        </w:rPr>
        <w:t>: FENASOJA, realizado na cidade de Santa Rosa de 30 de abril a 08 de maio. Sua participação foi muito positiva, principalmente no sentido de aproximar a instituição com aquela comunidade e fortalecer os seus laços.</w:t>
      </w:r>
    </w:p>
    <w:p w:rsidR="004F081B" w:rsidRPr="00CA79E5" w:rsidRDefault="004F081B" w:rsidP="004F081B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 xml:space="preserve">Diversas atividades foram realizadas, dando destaques aos cursos ofertados no </w:t>
      </w:r>
      <w:r w:rsidRPr="00B4404D">
        <w:rPr>
          <w:rFonts w:ascii="Book Antiqua" w:hAnsi="Book Antiqua"/>
          <w:i/>
          <w:sz w:val="20"/>
          <w:szCs w:val="20"/>
          <w:lang w:eastAsia="pt-BR"/>
        </w:rPr>
        <w:t>campus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da UNIJUÍ em Santa Rosa.</w:t>
      </w:r>
    </w:p>
    <w:p w:rsidR="004F081B" w:rsidRPr="00CA79E5" w:rsidRDefault="004F081B" w:rsidP="004F081B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 xml:space="preserve">A Unijuí também participou da Feira do Livro da cidade de Três Passos, no mês de maio. As principais ações foram a realização de oficinas e palestras com professores de diversas áreas da </w:t>
      </w:r>
      <w:r w:rsidRPr="00CA79E5">
        <w:rPr>
          <w:rFonts w:ascii="Book Antiqua" w:hAnsi="Book Antiqua"/>
          <w:sz w:val="20"/>
          <w:szCs w:val="20"/>
          <w:lang w:eastAsia="pt-BR"/>
        </w:rPr>
        <w:lastRenderedPageBreak/>
        <w:t>instituição.</w:t>
      </w:r>
    </w:p>
    <w:p w:rsidR="004F081B" w:rsidRPr="00CA79E5" w:rsidRDefault="004F081B" w:rsidP="004F081B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Em outubro, entre os dias 6 a 16, aconteceu a ExpoIjuí, da qual a Unijuí foi patrocinadora. Diversas ações e eventos foram realizados na Casa da Unijuí no parque de Exposições. Todos os dias aconteciam eventos com cursos da</w:t>
      </w:r>
      <w:r w:rsidR="00B4404D" w:rsidRPr="00CA79E5">
        <w:rPr>
          <w:rFonts w:ascii="Book Antiqua" w:hAnsi="Book Antiqua"/>
          <w:sz w:val="20"/>
          <w:szCs w:val="20"/>
          <w:lang w:eastAsia="pt-BR"/>
        </w:rPr>
        <w:t xml:space="preserve"> Instituição</w:t>
      </w:r>
      <w:r w:rsidRPr="00CA79E5">
        <w:rPr>
          <w:rFonts w:ascii="Book Antiqua" w:hAnsi="Book Antiqua"/>
          <w:sz w:val="20"/>
          <w:szCs w:val="20"/>
          <w:lang w:eastAsia="pt-BR"/>
        </w:rPr>
        <w:t>, além de eventos da Editor</w:t>
      </w:r>
      <w:r w:rsidR="00B4404D">
        <w:rPr>
          <w:rFonts w:ascii="Book Antiqua" w:hAnsi="Book Antiqua"/>
          <w:sz w:val="20"/>
          <w:szCs w:val="20"/>
          <w:lang w:eastAsia="pt-BR"/>
        </w:rPr>
        <w:t xml:space="preserve">a Unijuí, EFA, Rádio Unijuí FM, </w:t>
      </w:r>
      <w:r w:rsidRPr="00CA79E5">
        <w:rPr>
          <w:rFonts w:ascii="Book Antiqua" w:hAnsi="Book Antiqua"/>
          <w:sz w:val="20"/>
          <w:szCs w:val="20"/>
          <w:lang w:eastAsia="pt-BR"/>
        </w:rPr>
        <w:t>Lançamento do Vestibular Verão 2017 e apresentação do Relatório Social 2015 da Fidene.</w:t>
      </w:r>
    </w:p>
    <w:p w:rsidR="009206CA" w:rsidRDefault="004F081B" w:rsidP="004F081B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A feira teve um resultado muito positivo para fortalecer a marca da</w:t>
      </w:r>
      <w:r w:rsidR="00B4404D" w:rsidRPr="00CA79E5">
        <w:rPr>
          <w:rFonts w:ascii="Book Antiqua" w:hAnsi="Book Antiqua"/>
          <w:sz w:val="20"/>
          <w:szCs w:val="20"/>
          <w:lang w:eastAsia="pt-BR"/>
        </w:rPr>
        <w:t xml:space="preserve"> Instituição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, além de prospectar novos </w:t>
      </w:r>
      <w:r w:rsidR="00B4404D">
        <w:rPr>
          <w:rFonts w:ascii="Book Antiqua" w:hAnsi="Book Antiqua"/>
          <w:sz w:val="20"/>
          <w:szCs w:val="20"/>
          <w:lang w:eastAsia="pt-BR"/>
        </w:rPr>
        <w:t>estudantes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e aumentar a rede de relacionamento.</w:t>
      </w:r>
    </w:p>
    <w:p w:rsidR="002A2682" w:rsidRPr="00CA79E5" w:rsidRDefault="002A2682" w:rsidP="004F081B">
      <w:pPr>
        <w:widowControl w:val="0"/>
        <w:autoSpaceDN w:val="0"/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</w:p>
    <w:p w:rsidR="004F081B" w:rsidRPr="00CA79E5" w:rsidRDefault="004F081B" w:rsidP="00B4404D">
      <w:pPr>
        <w:spacing w:before="120" w:after="120" w:line="240" w:lineRule="auto"/>
        <w:jc w:val="both"/>
        <w:rPr>
          <w:rFonts w:ascii="Book Antiqua" w:hAnsi="Book Antiqua"/>
          <w:b/>
          <w:sz w:val="20"/>
          <w:szCs w:val="20"/>
          <w:lang w:eastAsia="pt-BR"/>
        </w:rPr>
      </w:pPr>
      <w:r w:rsidRPr="00CA79E5">
        <w:rPr>
          <w:rFonts w:ascii="Book Antiqua" w:hAnsi="Book Antiqua"/>
          <w:b/>
          <w:sz w:val="20"/>
          <w:szCs w:val="20"/>
          <w:lang w:eastAsia="pt-BR"/>
        </w:rPr>
        <w:t>Saca Dúvidas</w:t>
      </w:r>
    </w:p>
    <w:p w:rsidR="004F081B" w:rsidRPr="00CA79E5" w:rsidRDefault="00B4404D" w:rsidP="004F081B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>
        <w:rPr>
          <w:rFonts w:ascii="Book Antiqua" w:hAnsi="Book Antiqua"/>
          <w:sz w:val="20"/>
          <w:szCs w:val="20"/>
          <w:lang w:eastAsia="pt-BR"/>
        </w:rPr>
        <w:t xml:space="preserve">Em 2016, o Saca </w:t>
      </w:r>
      <w:r w:rsidR="004F081B" w:rsidRPr="00CA79E5">
        <w:rPr>
          <w:rFonts w:ascii="Book Antiqua" w:hAnsi="Book Antiqua"/>
          <w:sz w:val="20"/>
          <w:szCs w:val="20"/>
          <w:lang w:eastAsia="pt-BR"/>
        </w:rPr>
        <w:t xml:space="preserve">Dúvidas aconteceu em 6 cidades -Três Passos, Panambi, Santa Rosa, Ijuí, Palmeira das Missões e São Luiz Gonzaga -, mas totalizando 08 eventos, visto que em Ijuí </w:t>
      </w:r>
      <w:r>
        <w:rPr>
          <w:rFonts w:ascii="Book Antiqua" w:hAnsi="Book Antiqua"/>
          <w:sz w:val="20"/>
          <w:szCs w:val="20"/>
          <w:lang w:eastAsia="pt-BR"/>
        </w:rPr>
        <w:t xml:space="preserve">e </w:t>
      </w:r>
      <w:r w:rsidR="004F081B" w:rsidRPr="00CA79E5">
        <w:rPr>
          <w:rFonts w:ascii="Book Antiqua" w:hAnsi="Book Antiqua"/>
          <w:sz w:val="20"/>
          <w:szCs w:val="20"/>
          <w:lang w:eastAsia="pt-BR"/>
        </w:rPr>
        <w:t>em Santa Rosa acontecem duas edições.</w:t>
      </w:r>
    </w:p>
    <w:p w:rsidR="004F081B" w:rsidRPr="00CA79E5" w:rsidRDefault="004F081B" w:rsidP="004F081B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Total de público presente: 3.824</w:t>
      </w:r>
    </w:p>
    <w:p w:rsidR="004F081B" w:rsidRDefault="00B4404D" w:rsidP="004F081B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>
        <w:rPr>
          <w:rFonts w:ascii="Book Antiqua" w:hAnsi="Book Antiqua"/>
          <w:sz w:val="20"/>
          <w:szCs w:val="20"/>
          <w:lang w:eastAsia="pt-BR"/>
        </w:rPr>
        <w:t xml:space="preserve"> </w:t>
      </w:r>
      <w:r w:rsidR="004F081B" w:rsidRPr="00CA79E5">
        <w:rPr>
          <w:rFonts w:ascii="Book Antiqua" w:hAnsi="Book Antiqua"/>
          <w:sz w:val="20"/>
          <w:szCs w:val="20"/>
          <w:lang w:eastAsia="pt-BR"/>
        </w:rPr>
        <w:t>O formato do evento foi modificad</w:t>
      </w:r>
      <w:r>
        <w:rPr>
          <w:rFonts w:ascii="Book Antiqua" w:hAnsi="Book Antiqua"/>
          <w:sz w:val="20"/>
          <w:szCs w:val="20"/>
          <w:lang w:eastAsia="pt-BR"/>
        </w:rPr>
        <w:t>o, acontecendo em forma de bate-</w:t>
      </w:r>
      <w:r w:rsidR="004F081B" w:rsidRPr="00CA79E5">
        <w:rPr>
          <w:rFonts w:ascii="Book Antiqua" w:hAnsi="Book Antiqua"/>
          <w:sz w:val="20"/>
          <w:szCs w:val="20"/>
          <w:lang w:eastAsia="pt-BR"/>
        </w:rPr>
        <w:t>papo, com psicólogos e profissionais com conhecimento sobre carreira e escolha profissional.</w:t>
      </w:r>
    </w:p>
    <w:p w:rsidR="002A2682" w:rsidRPr="00CA79E5" w:rsidRDefault="002A2682" w:rsidP="004F081B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</w:p>
    <w:p w:rsidR="004F081B" w:rsidRPr="00CA79E5" w:rsidRDefault="004F081B" w:rsidP="00B4404D">
      <w:pPr>
        <w:spacing w:before="120" w:after="120" w:line="240" w:lineRule="auto"/>
        <w:jc w:val="both"/>
        <w:rPr>
          <w:rFonts w:ascii="Book Antiqua" w:hAnsi="Book Antiqua"/>
          <w:b/>
          <w:sz w:val="20"/>
          <w:szCs w:val="20"/>
          <w:lang w:eastAsia="pt-BR"/>
        </w:rPr>
      </w:pPr>
      <w:r w:rsidRPr="00CA79E5">
        <w:rPr>
          <w:rFonts w:ascii="Book Antiqua" w:hAnsi="Book Antiqua"/>
          <w:b/>
          <w:sz w:val="20"/>
          <w:szCs w:val="20"/>
          <w:lang w:eastAsia="pt-BR"/>
        </w:rPr>
        <w:t>Profissional do Futuro</w:t>
      </w:r>
    </w:p>
    <w:p w:rsidR="004F081B" w:rsidRPr="00CA79E5" w:rsidRDefault="004F081B" w:rsidP="004F081B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 xml:space="preserve">No ano de 2016 o Profissional do Futuro foi realizado nos </w:t>
      </w:r>
      <w:r w:rsidRPr="00B4404D">
        <w:rPr>
          <w:rFonts w:ascii="Book Antiqua" w:hAnsi="Book Antiqua"/>
          <w:i/>
          <w:sz w:val="20"/>
          <w:szCs w:val="20"/>
          <w:lang w:eastAsia="pt-BR"/>
        </w:rPr>
        <w:t>campi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de Ijuí, Santa Rosa e Três Passos, nas seguintes datas: Três Passos: 04 de outubro - terça-feira; Santa Rosa: 06 de outubro - quinta-feira; e Ijuí: 13,</w:t>
      </w:r>
      <w:r w:rsidR="00B4404D">
        <w:rPr>
          <w:rFonts w:ascii="Book Antiqua" w:hAnsi="Book Antiqua"/>
          <w:sz w:val="20"/>
          <w:szCs w:val="20"/>
          <w:lang w:eastAsia="pt-BR"/>
        </w:rPr>
        <w:t xml:space="preserve"> </w:t>
      </w:r>
      <w:r w:rsidRPr="00CA79E5">
        <w:rPr>
          <w:rFonts w:ascii="Book Antiqua" w:hAnsi="Book Antiqua"/>
          <w:sz w:val="20"/>
          <w:szCs w:val="20"/>
          <w:lang w:eastAsia="pt-BR"/>
        </w:rPr>
        <w:t>14 e</w:t>
      </w:r>
      <w:r w:rsidR="00B4404D">
        <w:rPr>
          <w:rFonts w:ascii="Book Antiqua" w:hAnsi="Book Antiqua"/>
          <w:sz w:val="20"/>
          <w:szCs w:val="20"/>
          <w:lang w:eastAsia="pt-BR"/>
        </w:rPr>
        <w:t xml:space="preserve"> </w:t>
      </w:r>
      <w:r w:rsidRPr="00CA79E5">
        <w:rPr>
          <w:rFonts w:ascii="Book Antiqua" w:hAnsi="Book Antiqua"/>
          <w:sz w:val="20"/>
          <w:szCs w:val="20"/>
          <w:lang w:eastAsia="pt-BR"/>
        </w:rPr>
        <w:t>15 de setembro (terça, quarta e quinta-feira).</w:t>
      </w:r>
    </w:p>
    <w:p w:rsidR="004F081B" w:rsidRPr="00CA79E5" w:rsidRDefault="004F081B" w:rsidP="004F081B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O evento manteve o formato de 2015, mas com atividades realizadas no complexo do Departamento de Ciências Exatas e Engenharias e visitas ao Escritório Modelo do Curso de Direito, em Ijuí. Os alunos foram conduzidos ao espaço de ônibus. O público, além de participar da Mostra de Curso</w:t>
      </w:r>
      <w:r w:rsidR="00B4404D">
        <w:rPr>
          <w:rFonts w:ascii="Book Antiqua" w:hAnsi="Book Antiqua"/>
          <w:sz w:val="20"/>
          <w:szCs w:val="20"/>
          <w:lang w:eastAsia="pt-BR"/>
        </w:rPr>
        <w:t>s</w:t>
      </w:r>
      <w:r w:rsidRPr="00CA79E5">
        <w:rPr>
          <w:rFonts w:ascii="Book Antiqua" w:hAnsi="Book Antiqua"/>
          <w:sz w:val="20"/>
          <w:szCs w:val="20"/>
          <w:lang w:eastAsia="pt-BR"/>
        </w:rPr>
        <w:t>, das práticas laboratoriais e visitas dirigidas, ainda p</w:t>
      </w:r>
      <w:r w:rsidR="00B4404D">
        <w:rPr>
          <w:rFonts w:ascii="Book Antiqua" w:hAnsi="Book Antiqua"/>
          <w:sz w:val="20"/>
          <w:szCs w:val="20"/>
          <w:lang w:eastAsia="pt-BR"/>
        </w:rPr>
        <w:t>ôde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interagir com atividades promovidas pelo núcleo de </w:t>
      </w:r>
      <w:r w:rsidR="00B4404D">
        <w:rPr>
          <w:rFonts w:ascii="Book Antiqua" w:hAnsi="Book Antiqua"/>
          <w:sz w:val="20"/>
          <w:szCs w:val="20"/>
          <w:lang w:eastAsia="pt-BR"/>
        </w:rPr>
        <w:t>E</w:t>
      </w:r>
      <w:r w:rsidRPr="00CA79E5">
        <w:rPr>
          <w:rFonts w:ascii="Book Antiqua" w:hAnsi="Book Antiqua"/>
          <w:sz w:val="20"/>
          <w:szCs w:val="20"/>
          <w:lang w:eastAsia="pt-BR"/>
        </w:rPr>
        <w:t>ventos do Curso de Educação Física. O brinde institucional desta edição foi um Copo de acrílico de 450</w:t>
      </w:r>
      <w:r w:rsidR="00B4404D">
        <w:rPr>
          <w:rFonts w:ascii="Book Antiqua" w:hAnsi="Book Antiqua"/>
          <w:sz w:val="20"/>
          <w:szCs w:val="20"/>
          <w:lang w:eastAsia="pt-BR"/>
        </w:rPr>
        <w:t xml:space="preserve"> </w:t>
      </w:r>
      <w:r w:rsidRPr="00CA79E5">
        <w:rPr>
          <w:rFonts w:ascii="Book Antiqua" w:hAnsi="Book Antiqua"/>
          <w:sz w:val="20"/>
          <w:szCs w:val="20"/>
          <w:lang w:eastAsia="pt-BR"/>
        </w:rPr>
        <w:t>ml, grafado as datas do processo de Vestibular Verão 2017</w:t>
      </w:r>
      <w:r w:rsidR="00B4404D">
        <w:rPr>
          <w:rFonts w:ascii="Book Antiqua" w:hAnsi="Book Antiqua"/>
          <w:sz w:val="20"/>
          <w:szCs w:val="20"/>
          <w:lang w:eastAsia="pt-BR"/>
        </w:rPr>
        <w:t>, sendo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um grande sucesso. </w:t>
      </w:r>
    </w:p>
    <w:p w:rsidR="009206CA" w:rsidRPr="00CA79E5" w:rsidRDefault="004F081B" w:rsidP="004F081B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 xml:space="preserve">Nos 4 </w:t>
      </w:r>
      <w:r w:rsidRPr="00CA79E5">
        <w:rPr>
          <w:rFonts w:ascii="Book Antiqua" w:hAnsi="Book Antiqua"/>
          <w:i/>
          <w:sz w:val="20"/>
          <w:szCs w:val="20"/>
          <w:lang w:eastAsia="pt-BR"/>
        </w:rPr>
        <w:t>campi</w:t>
      </w:r>
      <w:r w:rsidRPr="00CA79E5">
        <w:rPr>
          <w:rFonts w:ascii="Book Antiqua" w:hAnsi="Book Antiqua"/>
          <w:sz w:val="20"/>
          <w:szCs w:val="20"/>
          <w:lang w:eastAsia="pt-BR"/>
        </w:rPr>
        <w:t>, o evento reuniu cerca de 5</w:t>
      </w:r>
      <w:r w:rsidR="00B4404D">
        <w:rPr>
          <w:rFonts w:ascii="Book Antiqua" w:hAnsi="Book Antiqua"/>
          <w:sz w:val="20"/>
          <w:szCs w:val="20"/>
          <w:lang w:eastAsia="pt-BR"/>
        </w:rPr>
        <w:t>.</w:t>
      </w:r>
      <w:r w:rsidRPr="00CA79E5">
        <w:rPr>
          <w:rFonts w:ascii="Book Antiqua" w:hAnsi="Book Antiqua"/>
          <w:sz w:val="20"/>
          <w:szCs w:val="20"/>
          <w:lang w:eastAsia="pt-BR"/>
        </w:rPr>
        <w:t>112 estudantes.</w:t>
      </w:r>
    </w:p>
    <w:p w:rsidR="009206CA" w:rsidRPr="00CA79E5" w:rsidRDefault="009206CA" w:rsidP="009206CA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</w:p>
    <w:p w:rsidR="009206CA" w:rsidRPr="00CA79E5" w:rsidRDefault="009206CA" w:rsidP="00B4404D">
      <w:pPr>
        <w:spacing w:before="120" w:after="12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CA79E5">
        <w:rPr>
          <w:rFonts w:ascii="Book Antiqua" w:hAnsi="Book Antiqua"/>
          <w:b/>
          <w:sz w:val="20"/>
          <w:szCs w:val="20"/>
        </w:rPr>
        <w:t xml:space="preserve">Palestra nas Escolas </w:t>
      </w:r>
    </w:p>
    <w:p w:rsidR="009206CA" w:rsidRPr="00CA79E5" w:rsidRDefault="009206CA" w:rsidP="009206CA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</w:rPr>
      </w:pPr>
      <w:r w:rsidRPr="00CA79E5">
        <w:rPr>
          <w:rFonts w:ascii="Book Antiqua" w:hAnsi="Book Antiqua"/>
          <w:sz w:val="20"/>
          <w:szCs w:val="20"/>
        </w:rPr>
        <w:t xml:space="preserve">O Projeto Palestra nas Escolas da UNIJUÍ promove a interação da Universidade com as escolas, com os alunos do ensino médio, no formato de palestras sobre temas das áreas do conhecimento que a </w:t>
      </w:r>
      <w:r w:rsidR="00B4404D">
        <w:rPr>
          <w:rFonts w:ascii="Book Antiqua" w:hAnsi="Book Antiqua"/>
          <w:sz w:val="20"/>
          <w:szCs w:val="20"/>
        </w:rPr>
        <w:t>I</w:t>
      </w:r>
      <w:r w:rsidRPr="00CA79E5">
        <w:rPr>
          <w:rFonts w:ascii="Book Antiqua" w:hAnsi="Book Antiqua"/>
          <w:sz w:val="20"/>
          <w:szCs w:val="20"/>
        </w:rPr>
        <w:t xml:space="preserve">nstituição atua. Estas palestras são oferecidas gratuitamente para as escolas e alunos com temas referentes a cursos, profissões e possibilidades para os alunos se inserirem no mercado de trabalho. </w:t>
      </w:r>
    </w:p>
    <w:p w:rsidR="009206CA" w:rsidRPr="00CA79E5" w:rsidRDefault="009206CA" w:rsidP="009206CA">
      <w:pPr>
        <w:spacing w:before="120" w:after="120" w:line="240" w:lineRule="auto"/>
        <w:ind w:firstLine="709"/>
        <w:jc w:val="both"/>
        <w:rPr>
          <w:rFonts w:ascii="Book Antiqua" w:hAnsi="Book Antiqua"/>
          <w:b/>
          <w:sz w:val="20"/>
          <w:szCs w:val="20"/>
        </w:rPr>
      </w:pPr>
      <w:bookmarkStart w:id="17" w:name="_GoBack"/>
      <w:bookmarkEnd w:id="17"/>
    </w:p>
    <w:p w:rsidR="00871388" w:rsidRPr="00CA79E5" w:rsidRDefault="00871388" w:rsidP="00B4404D">
      <w:pPr>
        <w:spacing w:before="120" w:after="12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CA79E5">
        <w:rPr>
          <w:rFonts w:ascii="Book Antiqua" w:hAnsi="Book Antiqua"/>
          <w:b/>
          <w:sz w:val="20"/>
          <w:szCs w:val="20"/>
        </w:rPr>
        <w:t xml:space="preserve">Redes Sociais </w:t>
      </w:r>
    </w:p>
    <w:p w:rsidR="009206CA" w:rsidRPr="00CA79E5" w:rsidRDefault="00871388" w:rsidP="00871388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</w:rPr>
      </w:pPr>
      <w:r w:rsidRPr="00CA79E5">
        <w:rPr>
          <w:rFonts w:ascii="Book Antiqua" w:hAnsi="Book Antiqua"/>
          <w:sz w:val="20"/>
          <w:szCs w:val="20"/>
        </w:rPr>
        <w:t xml:space="preserve">A rede social mais acessada no país, o Facebook, aumentou consideravelmente o número de fãs para a UNIJUÍ. Atualmente, a fanpage conta com 56 mil curtidas e um grande fluxo de usuários que curtem, comentam e compartilham as informações da Universidade. Em 2016 foram incrementados os investimentos nesta ferramenta, através de produções específicas e posts patrocinados (pagos), o que aumentou muito mais o engajamento do público, iniciado na campanha de Volta às Aulas. Perguntas frequentes de internautas – alunos, comunidade e vestibulandos são respondidas diariamente, assim como no Twitter, outro canal de informações e publicidade da UNIJUÍ, onde o relacionamento com seus mais de 4.000 seguidores é diário. LinkedIn, </w:t>
      </w:r>
      <w:r w:rsidR="00B4404D" w:rsidRPr="00CA79E5">
        <w:rPr>
          <w:rFonts w:ascii="Book Antiqua" w:hAnsi="Book Antiqua"/>
          <w:sz w:val="20"/>
          <w:szCs w:val="20"/>
        </w:rPr>
        <w:t>Instagram</w:t>
      </w:r>
      <w:r w:rsidRPr="00CA79E5">
        <w:rPr>
          <w:rFonts w:ascii="Book Antiqua" w:hAnsi="Book Antiqua"/>
          <w:sz w:val="20"/>
          <w:szCs w:val="20"/>
        </w:rPr>
        <w:t xml:space="preserve"> e </w:t>
      </w:r>
      <w:r w:rsidR="00B4404D" w:rsidRPr="00CA79E5">
        <w:rPr>
          <w:rFonts w:ascii="Book Antiqua" w:hAnsi="Book Antiqua"/>
          <w:sz w:val="20"/>
          <w:szCs w:val="20"/>
        </w:rPr>
        <w:t>Snapchat</w:t>
      </w:r>
      <w:r w:rsidRPr="00CA79E5">
        <w:rPr>
          <w:rFonts w:ascii="Book Antiqua" w:hAnsi="Book Antiqua"/>
          <w:sz w:val="20"/>
          <w:szCs w:val="20"/>
        </w:rPr>
        <w:t xml:space="preserve"> são os outros perfis que a UNIJUÍ possui nas redes sociais, onde são replicadas as principais informações do que acontece na Universidade, aumentando a interação e o relacionamento da </w:t>
      </w:r>
      <w:r w:rsidRPr="00CA79E5">
        <w:rPr>
          <w:rFonts w:ascii="Book Antiqua" w:hAnsi="Book Antiqua"/>
          <w:sz w:val="20"/>
          <w:szCs w:val="20"/>
        </w:rPr>
        <w:lastRenderedPageBreak/>
        <w:t>Universidade com seus públicos. Ainda em termos de redes sociais, o Instagram passou a ser trabalhado de uma forma ativa e diferenciada e tem sido a rede com mais alcance atualmente. De 2015 para 2017, a Unijuí passou de 900 para cerca de 6 mil seguidores.</w:t>
      </w:r>
    </w:p>
    <w:p w:rsidR="009206CA" w:rsidRPr="00CA79E5" w:rsidRDefault="009206CA" w:rsidP="009206CA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</w:rPr>
      </w:pPr>
    </w:p>
    <w:p w:rsidR="00C54818" w:rsidRPr="00CA79E5" w:rsidRDefault="00C54818" w:rsidP="00B4404D">
      <w:pPr>
        <w:spacing w:before="120" w:after="120" w:line="240" w:lineRule="auto"/>
        <w:jc w:val="both"/>
        <w:rPr>
          <w:rFonts w:ascii="Book Antiqua" w:hAnsi="Book Antiqua"/>
          <w:b/>
          <w:sz w:val="20"/>
          <w:szCs w:val="20"/>
          <w:lang w:eastAsia="pt-BR"/>
        </w:rPr>
      </w:pPr>
      <w:r w:rsidRPr="00CA79E5">
        <w:rPr>
          <w:rFonts w:ascii="Book Antiqua" w:hAnsi="Book Antiqua"/>
          <w:b/>
          <w:sz w:val="20"/>
          <w:szCs w:val="20"/>
          <w:lang w:eastAsia="pt-BR"/>
        </w:rPr>
        <w:t>Programa Sinergia de Comunicação Interna da FIDENE/UNIJUÍ</w:t>
      </w:r>
    </w:p>
    <w:p w:rsidR="00C54818" w:rsidRPr="00CA79E5" w:rsidRDefault="00C54818" w:rsidP="00C54818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 xml:space="preserve">No ano de 2016 o Programa Sinergia deu sequência a estrutura de pensar e agir adotados como piloto em 2015. O conselho gestor do Programa continuou a adotar estratégias mais eficazes de relações públicas, orientando suas atividades a partir de técnicas mais coerentes com a atual estrutura funcional da instituição. Manteve-se as estratégias de </w:t>
      </w:r>
      <w:r w:rsidRPr="002A2682">
        <w:rPr>
          <w:rFonts w:ascii="Book Antiqua" w:hAnsi="Book Antiqua"/>
          <w:i/>
          <w:sz w:val="20"/>
          <w:szCs w:val="20"/>
          <w:lang w:eastAsia="pt-BR"/>
        </w:rPr>
        <w:t>Branded Content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, desenvolvendo suas ações a partir do discurso: “Cuidar de si e cuidar do outro. Cuidar de si é </w:t>
      </w:r>
      <w:r w:rsidRPr="000D48C7">
        <w:rPr>
          <w:rFonts w:ascii="Book Antiqua" w:hAnsi="Book Antiqua"/>
          <w:sz w:val="20"/>
          <w:szCs w:val="20"/>
          <w:lang w:eastAsia="pt-BR"/>
        </w:rPr>
        <w:t>cuida</w:t>
      </w:r>
      <w:r w:rsidR="000D48C7" w:rsidRPr="000D48C7">
        <w:rPr>
          <w:rFonts w:ascii="Book Antiqua" w:hAnsi="Book Antiqua"/>
          <w:sz w:val="20"/>
          <w:szCs w:val="20"/>
          <w:lang w:eastAsia="pt-BR"/>
        </w:rPr>
        <w:t>r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do outro”.</w:t>
      </w:r>
    </w:p>
    <w:p w:rsidR="00C54818" w:rsidRPr="00CA79E5" w:rsidRDefault="00C54818" w:rsidP="00C54818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 xml:space="preserve">A ideia parte de uma parceria com o Projeto de Extensão da Universidade “Cuidado Integral </w:t>
      </w:r>
      <w:r w:rsidR="00B4404D">
        <w:rPr>
          <w:rFonts w:ascii="Book Antiqua" w:hAnsi="Book Antiqua"/>
          <w:sz w:val="20"/>
          <w:szCs w:val="20"/>
          <w:lang w:eastAsia="pt-BR"/>
        </w:rPr>
        <w:t>à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Saúde”, com vistas a qualificar a saúde e bem-estar dos colaboradores, tendo como preceito que, estes estando bem, a</w:t>
      </w:r>
      <w:r w:rsidR="00B4404D" w:rsidRPr="00CA79E5">
        <w:rPr>
          <w:rFonts w:ascii="Book Antiqua" w:hAnsi="Book Antiqua"/>
          <w:sz w:val="20"/>
          <w:szCs w:val="20"/>
          <w:lang w:eastAsia="pt-BR"/>
        </w:rPr>
        <w:t xml:space="preserve"> Instituição 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também está bem. </w:t>
      </w:r>
    </w:p>
    <w:p w:rsidR="00C54818" w:rsidRPr="00CA79E5" w:rsidRDefault="00C54818" w:rsidP="00C54818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Assim, de forma sintética, as principais ações do Programa foram:</w:t>
      </w:r>
    </w:p>
    <w:p w:rsidR="00C54818" w:rsidRPr="00CA79E5" w:rsidRDefault="00C54818" w:rsidP="00C54818">
      <w:pPr>
        <w:spacing w:before="120" w:after="120" w:line="240" w:lineRule="auto"/>
        <w:ind w:firstLine="709"/>
        <w:jc w:val="both"/>
        <w:rPr>
          <w:rFonts w:ascii="Book Antiqua" w:hAnsi="Book Antiqua"/>
          <w:b/>
          <w:sz w:val="20"/>
          <w:szCs w:val="20"/>
          <w:lang w:eastAsia="pt-BR"/>
        </w:rPr>
      </w:pPr>
      <w:r w:rsidRPr="00CA79E5">
        <w:rPr>
          <w:rFonts w:ascii="Book Antiqua" w:hAnsi="Book Antiqua"/>
          <w:b/>
          <w:sz w:val="20"/>
          <w:szCs w:val="20"/>
          <w:lang w:eastAsia="pt-BR"/>
        </w:rPr>
        <w:t>1. Comunicação</w:t>
      </w:r>
    </w:p>
    <w:p w:rsidR="00C54818" w:rsidRPr="00CA79E5" w:rsidRDefault="00C54818" w:rsidP="00C54818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- Blog Sinergia: além do que é usual ser publicado nesse canal – informações administrativas; datas importantes; eventos de celebração</w:t>
      </w:r>
      <w:r w:rsidR="00B4404D">
        <w:rPr>
          <w:rFonts w:ascii="Book Antiqua" w:hAnsi="Book Antiqua"/>
          <w:sz w:val="20"/>
          <w:szCs w:val="20"/>
          <w:lang w:eastAsia="pt-BR"/>
        </w:rPr>
        <w:t xml:space="preserve"> e integração -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, trabalhou-se com intensidade a referência </w:t>
      </w:r>
      <w:r w:rsidR="00B4404D">
        <w:rPr>
          <w:rFonts w:ascii="Book Antiqua" w:hAnsi="Book Antiqua"/>
          <w:sz w:val="20"/>
          <w:szCs w:val="20"/>
          <w:lang w:eastAsia="pt-BR"/>
        </w:rPr>
        <w:t>ao cuidado consigo e com o outro.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</w:t>
      </w:r>
    </w:p>
    <w:p w:rsidR="00C54818" w:rsidRPr="00CA79E5" w:rsidRDefault="00C54818" w:rsidP="00C54818">
      <w:pPr>
        <w:spacing w:before="120" w:after="120" w:line="240" w:lineRule="auto"/>
        <w:ind w:firstLine="709"/>
        <w:jc w:val="both"/>
        <w:rPr>
          <w:rFonts w:ascii="Book Antiqua" w:hAnsi="Book Antiqua"/>
          <w:b/>
          <w:sz w:val="20"/>
          <w:szCs w:val="20"/>
          <w:lang w:eastAsia="pt-BR"/>
        </w:rPr>
      </w:pPr>
      <w:r w:rsidRPr="00CA79E5">
        <w:rPr>
          <w:rFonts w:ascii="Book Antiqua" w:hAnsi="Book Antiqua"/>
          <w:b/>
          <w:sz w:val="20"/>
          <w:szCs w:val="20"/>
          <w:lang w:eastAsia="pt-BR"/>
        </w:rPr>
        <w:t xml:space="preserve">2. Relacionamento </w:t>
      </w:r>
    </w:p>
    <w:p w:rsidR="00C54818" w:rsidRPr="00B4404D" w:rsidRDefault="00B4404D" w:rsidP="00B4404D">
      <w:pPr>
        <w:spacing w:before="120" w:after="120" w:line="240" w:lineRule="auto"/>
        <w:ind w:firstLine="708"/>
        <w:jc w:val="both"/>
        <w:rPr>
          <w:rFonts w:ascii="Book Antiqua" w:hAnsi="Book Antiqua"/>
          <w:sz w:val="20"/>
          <w:szCs w:val="20"/>
          <w:lang w:eastAsia="pt-BR"/>
        </w:rPr>
      </w:pPr>
      <w:r>
        <w:rPr>
          <w:rFonts w:ascii="Book Antiqua" w:hAnsi="Book Antiqua"/>
          <w:sz w:val="20"/>
          <w:szCs w:val="20"/>
          <w:lang w:eastAsia="pt-BR"/>
        </w:rPr>
        <w:t xml:space="preserve">- </w:t>
      </w:r>
      <w:r w:rsidR="00C54818" w:rsidRPr="00B4404D">
        <w:rPr>
          <w:rFonts w:ascii="Book Antiqua" w:hAnsi="Book Antiqua"/>
          <w:sz w:val="20"/>
          <w:szCs w:val="20"/>
          <w:lang w:eastAsia="pt-BR"/>
        </w:rPr>
        <w:t>Relações públicas: observando o sistema social – Fidene/Público Interno – o Programa Sinergia ampliou sua abordagem quanto às técnicas e funções das relações públicas em seu planejamento estratégico, tático e operacional. Mai</w:t>
      </w:r>
      <w:r>
        <w:rPr>
          <w:rFonts w:ascii="Book Antiqua" w:hAnsi="Book Antiqua"/>
          <w:sz w:val="20"/>
          <w:szCs w:val="20"/>
          <w:lang w:eastAsia="pt-BR"/>
        </w:rPr>
        <w:t>s</w:t>
      </w:r>
      <w:r w:rsidR="00C54818" w:rsidRPr="00B4404D">
        <w:rPr>
          <w:rFonts w:ascii="Book Antiqua" w:hAnsi="Book Antiqua"/>
          <w:sz w:val="20"/>
          <w:szCs w:val="20"/>
          <w:lang w:eastAsia="pt-BR"/>
        </w:rPr>
        <w:t xml:space="preserve"> atenção foi dada aos conflitos e cooperações desencadeados no sistema interno. Tendo a comunicação como meio, buscou-se melhorar o entendimento do sistema social quanto às ações e importância do Programa. E, principalmente, humanizar as relações de trabalho, caracterizando a importância de todos, independentemente de sua unidade ou setor. Para a consecução disso, utilizou-se de estratégias de endomarketing, sendo as principais no pilar de relacionamento:</w:t>
      </w:r>
    </w:p>
    <w:p w:rsidR="002A2682" w:rsidRPr="001D0D90" w:rsidRDefault="001D0D90" w:rsidP="001D0D90">
      <w:pPr>
        <w:spacing w:before="120" w:after="120" w:line="240" w:lineRule="auto"/>
        <w:ind w:firstLine="708"/>
        <w:jc w:val="both"/>
        <w:rPr>
          <w:rFonts w:ascii="Book Antiqua" w:hAnsi="Book Antiqua"/>
          <w:sz w:val="20"/>
          <w:szCs w:val="20"/>
          <w:lang w:eastAsia="pt-BR"/>
        </w:rPr>
      </w:pPr>
      <w:r>
        <w:rPr>
          <w:rFonts w:ascii="Book Antiqua" w:hAnsi="Book Antiqua"/>
          <w:sz w:val="20"/>
          <w:szCs w:val="20"/>
          <w:lang w:eastAsia="pt-BR"/>
        </w:rPr>
        <w:t xml:space="preserve">- </w:t>
      </w:r>
      <w:r w:rsidR="00C54818" w:rsidRPr="001D0D90">
        <w:rPr>
          <w:rFonts w:ascii="Book Antiqua" w:hAnsi="Book Antiqua"/>
          <w:sz w:val="20"/>
          <w:szCs w:val="20"/>
          <w:lang w:eastAsia="pt-BR"/>
        </w:rPr>
        <w:t>Datas Comemorativas: as já tradicionais datas de celebração sofreram interferência do “</w:t>
      </w:r>
      <w:r w:rsidR="00C54818" w:rsidRPr="001D0D90">
        <w:rPr>
          <w:rFonts w:ascii="Book Antiqua" w:hAnsi="Book Antiqua"/>
          <w:i/>
          <w:sz w:val="20"/>
          <w:szCs w:val="20"/>
          <w:lang w:eastAsia="pt-BR"/>
        </w:rPr>
        <w:t>Branded Content</w:t>
      </w:r>
      <w:r w:rsidR="00C54818" w:rsidRPr="001D0D90">
        <w:rPr>
          <w:rFonts w:ascii="Book Antiqua" w:hAnsi="Book Antiqua"/>
          <w:sz w:val="20"/>
          <w:szCs w:val="20"/>
          <w:lang w:eastAsia="pt-BR"/>
        </w:rPr>
        <w:t xml:space="preserve">” do Programa. Todos os eventos foram planejados e executados sob a perspectiva Cuidado. Além disso, as produções de conteúdo a partir desses eventos também usaram </w:t>
      </w:r>
      <w:r w:rsidRPr="001D0D90">
        <w:rPr>
          <w:rFonts w:ascii="Book Antiqua" w:hAnsi="Book Antiqua"/>
          <w:sz w:val="20"/>
          <w:szCs w:val="20"/>
          <w:lang w:eastAsia="pt-BR"/>
        </w:rPr>
        <w:t>essa estratégia</w:t>
      </w:r>
      <w:r w:rsidR="00C54818" w:rsidRPr="001D0D90">
        <w:rPr>
          <w:rFonts w:ascii="Book Antiqua" w:hAnsi="Book Antiqua"/>
          <w:sz w:val="20"/>
          <w:szCs w:val="20"/>
          <w:lang w:eastAsia="pt-BR"/>
        </w:rPr>
        <w:t xml:space="preserve">. Os principais eventos foram: </w:t>
      </w:r>
      <w:r>
        <w:rPr>
          <w:rFonts w:ascii="Book Antiqua" w:hAnsi="Book Antiqua"/>
          <w:sz w:val="20"/>
          <w:szCs w:val="20"/>
          <w:lang w:eastAsia="pt-BR"/>
        </w:rPr>
        <w:t>A</w:t>
      </w:r>
      <w:r w:rsidR="00C54818" w:rsidRPr="001D0D90">
        <w:rPr>
          <w:rFonts w:ascii="Book Antiqua" w:hAnsi="Book Antiqua"/>
          <w:sz w:val="20"/>
          <w:szCs w:val="20"/>
          <w:lang w:eastAsia="pt-BR"/>
        </w:rPr>
        <w:t>ção de Páscoa, Dia do Trabalhador, Dia do Amigo, Dia das Mães e dos Pais, Dia do Gaúcho, Dia do Profissional em Educação, Dia das Crianças, Dia do Homem e da Mulher. O grande destaque fo</w:t>
      </w:r>
      <w:r w:rsidR="002A2682" w:rsidRPr="001D0D90">
        <w:rPr>
          <w:rFonts w:ascii="Book Antiqua" w:hAnsi="Book Antiqua"/>
          <w:sz w:val="20"/>
          <w:szCs w:val="20"/>
          <w:lang w:eastAsia="pt-BR"/>
        </w:rPr>
        <w:t>i</w:t>
      </w:r>
      <w:r w:rsidR="00C54818" w:rsidRPr="001D0D90">
        <w:rPr>
          <w:rFonts w:ascii="Book Antiqua" w:hAnsi="Book Antiqua"/>
          <w:sz w:val="20"/>
          <w:szCs w:val="20"/>
          <w:lang w:eastAsia="pt-BR"/>
        </w:rPr>
        <w:t xml:space="preserve"> a</w:t>
      </w:r>
      <w:r>
        <w:rPr>
          <w:rFonts w:ascii="Book Antiqua" w:hAnsi="Book Antiqua"/>
          <w:sz w:val="20"/>
          <w:szCs w:val="20"/>
          <w:lang w:eastAsia="pt-BR"/>
        </w:rPr>
        <w:t>s</w:t>
      </w:r>
      <w:r w:rsidR="00C54818" w:rsidRPr="001D0D90">
        <w:rPr>
          <w:rFonts w:ascii="Book Antiqua" w:hAnsi="Book Antiqua"/>
          <w:sz w:val="20"/>
          <w:szCs w:val="20"/>
          <w:lang w:eastAsia="pt-BR"/>
        </w:rPr>
        <w:t xml:space="preserve"> comemorações ao Dia do Amigo, </w:t>
      </w:r>
      <w:r>
        <w:rPr>
          <w:rFonts w:ascii="Book Antiqua" w:hAnsi="Book Antiqua"/>
          <w:sz w:val="20"/>
          <w:szCs w:val="20"/>
          <w:lang w:eastAsia="pt-BR"/>
        </w:rPr>
        <w:t>quando</w:t>
      </w:r>
      <w:r w:rsidR="00C54818" w:rsidRPr="001D0D90">
        <w:rPr>
          <w:rFonts w:ascii="Book Antiqua" w:hAnsi="Book Antiqua"/>
          <w:sz w:val="20"/>
          <w:szCs w:val="20"/>
          <w:lang w:eastAsia="pt-BR"/>
        </w:rPr>
        <w:t xml:space="preserve"> cada unidade/departamento/mantida foi desafiada a “adotar” uma instituição e realizar alguma ação em </w:t>
      </w:r>
      <w:r>
        <w:rPr>
          <w:rFonts w:ascii="Book Antiqua" w:hAnsi="Book Antiqua"/>
          <w:sz w:val="20"/>
          <w:szCs w:val="20"/>
          <w:lang w:eastAsia="pt-BR"/>
        </w:rPr>
        <w:t xml:space="preserve">seu </w:t>
      </w:r>
      <w:r w:rsidR="00C54818" w:rsidRPr="001D0D90">
        <w:rPr>
          <w:rFonts w:ascii="Book Antiqua" w:hAnsi="Book Antiqua"/>
          <w:sz w:val="20"/>
          <w:szCs w:val="20"/>
          <w:lang w:eastAsia="pt-BR"/>
        </w:rPr>
        <w:t>benefício. Um amigo solidário que levou a marca da Fidene/Unijuí para o contato com milhares de pessoas através de boas ações e espontâneas.</w:t>
      </w:r>
    </w:p>
    <w:p w:rsidR="00C54818" w:rsidRPr="001D0D90" w:rsidRDefault="001D0D90" w:rsidP="001D0D90">
      <w:pPr>
        <w:spacing w:before="120" w:after="120" w:line="240" w:lineRule="auto"/>
        <w:ind w:firstLine="708"/>
        <w:jc w:val="both"/>
        <w:rPr>
          <w:rFonts w:ascii="Book Antiqua" w:hAnsi="Book Antiqua"/>
          <w:sz w:val="20"/>
          <w:szCs w:val="20"/>
          <w:lang w:eastAsia="pt-BR"/>
        </w:rPr>
      </w:pPr>
      <w:r>
        <w:rPr>
          <w:rFonts w:ascii="Book Antiqua" w:hAnsi="Book Antiqua"/>
          <w:sz w:val="20"/>
          <w:szCs w:val="20"/>
          <w:lang w:eastAsia="pt-BR"/>
        </w:rPr>
        <w:t xml:space="preserve">- </w:t>
      </w:r>
      <w:r w:rsidR="00C54818" w:rsidRPr="001D0D90">
        <w:rPr>
          <w:rFonts w:ascii="Book Antiqua" w:hAnsi="Book Antiqua"/>
          <w:sz w:val="20"/>
          <w:szCs w:val="20"/>
          <w:lang w:eastAsia="pt-BR"/>
        </w:rPr>
        <w:t xml:space="preserve">O projeto integrar e a Festa de Final de Ano não foram realizadas </w:t>
      </w:r>
      <w:r>
        <w:rPr>
          <w:rFonts w:ascii="Book Antiqua" w:hAnsi="Book Antiqua"/>
          <w:sz w:val="20"/>
          <w:szCs w:val="20"/>
          <w:lang w:eastAsia="pt-BR"/>
        </w:rPr>
        <w:t xml:space="preserve">devido à </w:t>
      </w:r>
      <w:r w:rsidR="00C54818" w:rsidRPr="001D0D90">
        <w:rPr>
          <w:rFonts w:ascii="Book Antiqua" w:hAnsi="Book Antiqua"/>
          <w:sz w:val="20"/>
          <w:szCs w:val="20"/>
          <w:lang w:eastAsia="pt-BR"/>
        </w:rPr>
        <w:t>contenção de gastos.</w:t>
      </w:r>
    </w:p>
    <w:p w:rsidR="00C54818" w:rsidRPr="00CA79E5" w:rsidRDefault="00C54818" w:rsidP="00C54818">
      <w:pPr>
        <w:spacing w:before="120" w:after="120" w:line="240" w:lineRule="auto"/>
        <w:ind w:firstLine="709"/>
        <w:jc w:val="both"/>
        <w:rPr>
          <w:rFonts w:ascii="Book Antiqua" w:hAnsi="Book Antiqua"/>
          <w:b/>
          <w:sz w:val="20"/>
          <w:szCs w:val="20"/>
          <w:lang w:eastAsia="pt-BR"/>
        </w:rPr>
      </w:pPr>
      <w:r w:rsidRPr="00CA79E5">
        <w:rPr>
          <w:rFonts w:ascii="Book Antiqua" w:hAnsi="Book Antiqua"/>
          <w:b/>
          <w:sz w:val="20"/>
          <w:szCs w:val="20"/>
          <w:lang w:eastAsia="pt-BR"/>
        </w:rPr>
        <w:t>3. Atendimento</w:t>
      </w:r>
    </w:p>
    <w:p w:rsidR="00C54818" w:rsidRPr="00CA79E5" w:rsidRDefault="00C54818" w:rsidP="00C54818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Capacitações e Atualização: coordenados pelo Núcleo de Desenvolvimento de Recursos Humanos e Núcleo de Relações Públicas, os docentes, técnicos-administrativos e de apoio da Fidene/Unijuí puderam participar de mais de 200 cursos para capacitar e qualificar suas competências. Desenvolvidos em diversas áreas, principalmente orientados ao atendimento ao público; comunicação interpessoal; etiqueta e postura profissional; planejamento; sistemas operacionais, entre outros, garantiram o aperfeiçoamento do corpo funcional da instituição.</w:t>
      </w:r>
    </w:p>
    <w:p w:rsidR="009206CA" w:rsidRDefault="00C54818" w:rsidP="00C54818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 xml:space="preserve">Os Agentes Sinergia também receberam atenção especial no pilar de Atendimento, quando a cada dois meses participaram de capacitações focadas no pleno desenvolvimento de suas funções dentro do Programa. São destaques: mediação de conflitos; liderança; comunicação interpessoal; entre </w:t>
      </w:r>
      <w:r w:rsidRPr="00CA79E5">
        <w:rPr>
          <w:rFonts w:ascii="Book Antiqua" w:hAnsi="Book Antiqua"/>
          <w:sz w:val="20"/>
          <w:szCs w:val="20"/>
          <w:lang w:eastAsia="pt-BR"/>
        </w:rPr>
        <w:lastRenderedPageBreak/>
        <w:t>outros. Os Agentes também participaram de encontros mensais para avaliação e replanejamento do Programa Sinergia.</w:t>
      </w:r>
    </w:p>
    <w:p w:rsidR="002A2682" w:rsidRPr="00CA79E5" w:rsidRDefault="002A2682" w:rsidP="00C54818">
      <w:pPr>
        <w:spacing w:before="120" w:after="120" w:line="240" w:lineRule="auto"/>
        <w:ind w:firstLine="709"/>
        <w:jc w:val="both"/>
        <w:rPr>
          <w:rFonts w:ascii="Book Antiqua" w:hAnsi="Book Antiqua"/>
          <w:bCs/>
          <w:sz w:val="20"/>
          <w:szCs w:val="20"/>
          <w:lang w:eastAsia="pt-BR"/>
        </w:rPr>
      </w:pPr>
    </w:p>
    <w:p w:rsidR="009206CA" w:rsidRPr="00CA79E5" w:rsidRDefault="009206CA" w:rsidP="009206CA">
      <w:pPr>
        <w:spacing w:before="120" w:after="120" w:line="240" w:lineRule="auto"/>
        <w:ind w:firstLine="709"/>
        <w:jc w:val="both"/>
        <w:rPr>
          <w:rFonts w:ascii="Book Antiqua" w:hAnsi="Book Antiqua"/>
          <w:b/>
          <w:bCs/>
          <w:sz w:val="20"/>
          <w:szCs w:val="20"/>
          <w:lang w:eastAsia="pt-BR"/>
        </w:rPr>
      </w:pPr>
      <w:r w:rsidRPr="00CA79E5">
        <w:rPr>
          <w:rFonts w:ascii="Book Antiqua" w:hAnsi="Book Antiqua"/>
          <w:b/>
          <w:bCs/>
          <w:sz w:val="20"/>
          <w:szCs w:val="20"/>
          <w:lang w:eastAsia="pt-BR"/>
        </w:rPr>
        <w:t>Egresso</w:t>
      </w:r>
    </w:p>
    <w:p w:rsidR="009206CA" w:rsidRPr="00CA79E5" w:rsidRDefault="006E6E0C" w:rsidP="009206CA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>Com a finalidade de acompanhar a vida profissional dos</w:t>
      </w:r>
      <w:r w:rsidR="009206CA" w:rsidRPr="00CA79E5">
        <w:rPr>
          <w:rFonts w:ascii="Book Antiqua" w:hAnsi="Book Antiqua"/>
          <w:sz w:val="20"/>
          <w:szCs w:val="20"/>
          <w:lang w:eastAsia="pt-BR"/>
        </w:rPr>
        <w:t xml:space="preserve"> egressos</w:t>
      </w:r>
      <w:r w:rsidRPr="00CA79E5">
        <w:rPr>
          <w:rFonts w:ascii="Book Antiqua" w:hAnsi="Book Antiqua"/>
          <w:sz w:val="20"/>
          <w:szCs w:val="20"/>
          <w:lang w:eastAsia="pt-BR"/>
        </w:rPr>
        <w:t>,</w:t>
      </w:r>
      <w:r w:rsidR="009206CA" w:rsidRPr="00CA79E5">
        <w:rPr>
          <w:rFonts w:ascii="Book Antiqua" w:hAnsi="Book Antiqua"/>
          <w:sz w:val="20"/>
          <w:szCs w:val="20"/>
          <w:lang w:eastAsia="pt-BR"/>
        </w:rPr>
        <w:t xml:space="preserve"> 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mensurando </w:t>
      </w:r>
      <w:r w:rsidR="001D0D90" w:rsidRPr="00CA79E5">
        <w:rPr>
          <w:rFonts w:ascii="Book Antiqua" w:hAnsi="Book Antiqua"/>
          <w:sz w:val="20"/>
          <w:szCs w:val="20"/>
          <w:lang w:eastAsia="pt-BR"/>
        </w:rPr>
        <w:t>suas atuações</w:t>
      </w:r>
      <w:r w:rsidR="009206CA" w:rsidRPr="00CA79E5">
        <w:rPr>
          <w:rFonts w:ascii="Book Antiqua" w:hAnsi="Book Antiqua"/>
          <w:sz w:val="20"/>
          <w:szCs w:val="20"/>
          <w:lang w:eastAsia="pt-BR"/>
        </w:rPr>
        <w:t xml:space="preserve"> no mercado de trabalho e o impacto que geram na comunidade ou local de atuação, em 201</w:t>
      </w:r>
      <w:r w:rsidRPr="00CA79E5">
        <w:rPr>
          <w:rFonts w:ascii="Book Antiqua" w:hAnsi="Book Antiqua"/>
          <w:sz w:val="20"/>
          <w:szCs w:val="20"/>
          <w:lang w:eastAsia="pt-BR"/>
        </w:rPr>
        <w:t>6</w:t>
      </w:r>
      <w:r w:rsidR="009206CA" w:rsidRPr="00CA79E5">
        <w:rPr>
          <w:rFonts w:ascii="Book Antiqua" w:hAnsi="Book Antiqua"/>
          <w:sz w:val="20"/>
          <w:szCs w:val="20"/>
          <w:lang w:eastAsia="pt-BR"/>
        </w:rPr>
        <w:t xml:space="preserve"> 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foram aplicadas </w:t>
      </w:r>
      <w:r w:rsidR="00C54818" w:rsidRPr="00CA79E5">
        <w:rPr>
          <w:rFonts w:ascii="Book Antiqua" w:hAnsi="Book Antiqua"/>
          <w:sz w:val="20"/>
          <w:szCs w:val="20"/>
          <w:lang w:eastAsia="pt-BR"/>
        </w:rPr>
        <w:t>sete pesquisas com o objetivo de mapear a atuação e a necessidade de qualificação continuada dos egressos.</w:t>
      </w:r>
    </w:p>
    <w:p w:rsidR="009206CA" w:rsidRPr="00CA79E5" w:rsidRDefault="006E6E0C" w:rsidP="009206CA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 xml:space="preserve">Ao longo de 2016, através do Banco de Talentos, o programa disponibilizou diversas interações entre recrutadores e candidatos </w:t>
      </w:r>
      <w:r w:rsidR="001D0D90" w:rsidRPr="00CA79E5">
        <w:rPr>
          <w:rFonts w:ascii="Book Antiqua" w:hAnsi="Book Antiqua"/>
          <w:sz w:val="20"/>
          <w:szCs w:val="20"/>
          <w:lang w:eastAsia="pt-BR"/>
        </w:rPr>
        <w:t>a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 vagas de trabalho. </w:t>
      </w:r>
    </w:p>
    <w:p w:rsidR="009206CA" w:rsidRPr="00CA79E5" w:rsidRDefault="009206CA" w:rsidP="009206CA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r w:rsidRPr="00CA79E5">
        <w:rPr>
          <w:rFonts w:ascii="Book Antiqua" w:hAnsi="Book Antiqua"/>
          <w:sz w:val="20"/>
          <w:szCs w:val="20"/>
          <w:lang w:eastAsia="pt-BR"/>
        </w:rPr>
        <w:t xml:space="preserve">Outras ações tiveram continuidade, como comunicações por e-mail (eventos, palestras, notícias da universidade), o envio dos Kits egresso para o endereço dos formandos, atualização constante no portal Egresso Unijuí, com inserção de cases de sucesso, currículos e anúncios de vagas de estágio e profissional. </w:t>
      </w:r>
    </w:p>
    <w:p w:rsidR="009206CA" w:rsidRPr="00CA79E5" w:rsidRDefault="009206CA" w:rsidP="009206CA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  <w:lang w:eastAsia="pt-BR"/>
        </w:rPr>
      </w:pPr>
      <w:bookmarkStart w:id="18" w:name="_Toc68061438"/>
      <w:bookmarkStart w:id="19" w:name="_Toc67791966"/>
    </w:p>
    <w:p w:rsidR="009206CA" w:rsidRPr="00CA79E5" w:rsidRDefault="009206CA" w:rsidP="009206CA">
      <w:pPr>
        <w:spacing w:before="120" w:after="120" w:line="240" w:lineRule="auto"/>
        <w:ind w:firstLine="709"/>
        <w:jc w:val="both"/>
        <w:rPr>
          <w:rFonts w:ascii="Book Antiqua" w:hAnsi="Book Antiqua"/>
          <w:b/>
          <w:sz w:val="20"/>
          <w:szCs w:val="20"/>
          <w:lang w:eastAsia="pt-BR"/>
        </w:rPr>
      </w:pPr>
      <w:r w:rsidRPr="00CA79E5">
        <w:rPr>
          <w:rFonts w:ascii="Book Antiqua" w:hAnsi="Book Antiqua"/>
          <w:b/>
          <w:sz w:val="20"/>
          <w:szCs w:val="20"/>
          <w:lang w:eastAsia="pt-BR"/>
        </w:rPr>
        <w:t>Participação em Eventos e Outras Atividades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8"/>
      <w:bookmarkEnd w:id="19"/>
    </w:p>
    <w:tbl>
      <w:tblPr>
        <w:tblW w:w="87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58"/>
        <w:gridCol w:w="709"/>
        <w:gridCol w:w="1417"/>
        <w:gridCol w:w="1559"/>
        <w:gridCol w:w="1418"/>
      </w:tblGrid>
      <w:tr w:rsidR="00CA79E5" w:rsidRPr="00CA79E5" w:rsidTr="00AF5681">
        <w:trPr>
          <w:jc w:val="center"/>
        </w:trPr>
        <w:tc>
          <w:tcPr>
            <w:tcW w:w="3658" w:type="dxa"/>
            <w:vAlign w:val="center"/>
          </w:tcPr>
          <w:p w:rsidR="009206CA" w:rsidRPr="00CA79E5" w:rsidRDefault="009206CA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b/>
                <w:bCs/>
                <w:sz w:val="20"/>
                <w:szCs w:val="20"/>
                <w:lang w:eastAsia="pt-BR"/>
              </w:rPr>
              <w:t>Evento/Atividade</w:t>
            </w:r>
          </w:p>
        </w:tc>
        <w:tc>
          <w:tcPr>
            <w:tcW w:w="709" w:type="dxa"/>
            <w:vAlign w:val="center"/>
          </w:tcPr>
          <w:p w:rsidR="009206CA" w:rsidRPr="00CA79E5" w:rsidRDefault="009206CA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b/>
                <w:bCs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417" w:type="dxa"/>
            <w:vAlign w:val="center"/>
          </w:tcPr>
          <w:p w:rsidR="009206CA" w:rsidRPr="00CA79E5" w:rsidRDefault="009206CA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b/>
                <w:bCs/>
                <w:sz w:val="20"/>
                <w:szCs w:val="20"/>
                <w:lang w:eastAsia="pt-BR"/>
              </w:rPr>
              <w:t>Nº</w:t>
            </w:r>
          </w:p>
          <w:p w:rsidR="009206CA" w:rsidRPr="00CA79E5" w:rsidRDefault="009206CA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b/>
                <w:bCs/>
                <w:sz w:val="20"/>
                <w:szCs w:val="20"/>
                <w:lang w:eastAsia="pt-BR"/>
              </w:rPr>
              <w:t>Participantes</w:t>
            </w:r>
          </w:p>
        </w:tc>
        <w:tc>
          <w:tcPr>
            <w:tcW w:w="1559" w:type="dxa"/>
            <w:vAlign w:val="center"/>
          </w:tcPr>
          <w:p w:rsidR="009206CA" w:rsidRPr="00CA79E5" w:rsidRDefault="009206CA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b/>
                <w:bCs/>
                <w:sz w:val="20"/>
                <w:szCs w:val="20"/>
                <w:lang w:eastAsia="pt-BR"/>
              </w:rPr>
              <w:t>Promoção/</w:t>
            </w:r>
          </w:p>
          <w:p w:rsidR="009206CA" w:rsidRPr="00CA79E5" w:rsidRDefault="009206CA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b/>
                <w:bCs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1418" w:type="dxa"/>
            <w:vAlign w:val="center"/>
          </w:tcPr>
          <w:p w:rsidR="009206CA" w:rsidRPr="00CA79E5" w:rsidRDefault="009206CA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b/>
                <w:bCs/>
                <w:sz w:val="20"/>
                <w:szCs w:val="20"/>
                <w:lang w:eastAsia="pt-BR"/>
              </w:rPr>
              <w:t>Carga Horária</w:t>
            </w:r>
          </w:p>
        </w:tc>
      </w:tr>
      <w:tr w:rsidR="00CA79E5" w:rsidRPr="00CA79E5" w:rsidTr="00AF5681">
        <w:trPr>
          <w:jc w:val="center"/>
        </w:trPr>
        <w:tc>
          <w:tcPr>
            <w:tcW w:w="3658" w:type="dxa"/>
            <w:vAlign w:val="center"/>
          </w:tcPr>
          <w:p w:rsidR="009206CA" w:rsidRPr="00CA79E5" w:rsidRDefault="008D5C4F" w:rsidP="00421DC3">
            <w:pPr>
              <w:spacing w:before="120" w:after="120" w:line="240" w:lineRule="auto"/>
              <w:jc w:val="both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</w:rPr>
              <w:t>Curso de Excel – Módulo Básico</w:t>
            </w:r>
          </w:p>
        </w:tc>
        <w:tc>
          <w:tcPr>
            <w:tcW w:w="709" w:type="dxa"/>
            <w:vAlign w:val="center"/>
          </w:tcPr>
          <w:p w:rsidR="009206CA" w:rsidRPr="00CA79E5" w:rsidRDefault="009206CA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1417" w:type="dxa"/>
            <w:vAlign w:val="center"/>
          </w:tcPr>
          <w:p w:rsidR="009206CA" w:rsidRPr="00CA79E5" w:rsidRDefault="008D5C4F" w:rsidP="008D5C4F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559" w:type="dxa"/>
            <w:vAlign w:val="center"/>
          </w:tcPr>
          <w:p w:rsidR="009206CA" w:rsidRPr="00CA79E5" w:rsidRDefault="009206CA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</w:rPr>
              <w:t>Unijuí</w:t>
            </w:r>
          </w:p>
        </w:tc>
        <w:tc>
          <w:tcPr>
            <w:tcW w:w="1418" w:type="dxa"/>
            <w:vAlign w:val="center"/>
          </w:tcPr>
          <w:p w:rsidR="009206CA" w:rsidRPr="00CA79E5" w:rsidRDefault="009206CA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12h</w:t>
            </w:r>
          </w:p>
        </w:tc>
      </w:tr>
      <w:tr w:rsidR="00CA79E5" w:rsidRPr="00CA79E5" w:rsidTr="00AF5681">
        <w:trPr>
          <w:jc w:val="center"/>
        </w:trPr>
        <w:tc>
          <w:tcPr>
            <w:tcW w:w="3658" w:type="dxa"/>
            <w:vAlign w:val="center"/>
          </w:tcPr>
          <w:p w:rsidR="009206CA" w:rsidRPr="00CA79E5" w:rsidRDefault="008D5C4F" w:rsidP="008D5C4F">
            <w:pPr>
              <w:spacing w:before="120" w:after="120" w:line="240" w:lineRule="auto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</w:rPr>
              <w:t>Gerenciamento de Crises</w:t>
            </w:r>
          </w:p>
        </w:tc>
        <w:tc>
          <w:tcPr>
            <w:tcW w:w="709" w:type="dxa"/>
            <w:vAlign w:val="center"/>
          </w:tcPr>
          <w:p w:rsidR="009206CA" w:rsidRPr="00CA79E5" w:rsidRDefault="008D5C4F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1417" w:type="dxa"/>
            <w:vAlign w:val="center"/>
          </w:tcPr>
          <w:p w:rsidR="009206CA" w:rsidRPr="00CA79E5" w:rsidRDefault="008D5C4F" w:rsidP="008D5C4F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559" w:type="dxa"/>
            <w:vAlign w:val="center"/>
          </w:tcPr>
          <w:p w:rsidR="009206CA" w:rsidRPr="00CA79E5" w:rsidRDefault="008D5C4F" w:rsidP="008D5C4F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1418" w:type="dxa"/>
            <w:vAlign w:val="center"/>
          </w:tcPr>
          <w:p w:rsidR="009206CA" w:rsidRPr="00CA79E5" w:rsidRDefault="008D5C4F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24</w:t>
            </w:r>
            <w:r w:rsidR="009206CA" w:rsidRPr="00CA79E5">
              <w:rPr>
                <w:rFonts w:ascii="Book Antiqua" w:hAnsi="Book Antiqua"/>
                <w:sz w:val="20"/>
                <w:szCs w:val="20"/>
                <w:lang w:eastAsia="pt-BR"/>
              </w:rPr>
              <w:t>h</w:t>
            </w:r>
          </w:p>
        </w:tc>
      </w:tr>
      <w:tr w:rsidR="00CA79E5" w:rsidRPr="00CA79E5" w:rsidTr="00AF5681">
        <w:trPr>
          <w:jc w:val="center"/>
        </w:trPr>
        <w:tc>
          <w:tcPr>
            <w:tcW w:w="3658" w:type="dxa"/>
            <w:vAlign w:val="center"/>
          </w:tcPr>
          <w:p w:rsidR="009206CA" w:rsidRPr="00CA79E5" w:rsidRDefault="008D5C4F" w:rsidP="00421DC3">
            <w:pPr>
              <w:pStyle w:val="Default"/>
              <w:spacing w:before="120" w:after="120"/>
              <w:jc w:val="both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CA79E5">
              <w:rPr>
                <w:rFonts w:ascii="Book Antiqua" w:hAnsi="Book Antiqua"/>
                <w:color w:val="auto"/>
                <w:sz w:val="20"/>
                <w:szCs w:val="20"/>
              </w:rPr>
              <w:t>Educação Ambiental</w:t>
            </w:r>
          </w:p>
        </w:tc>
        <w:tc>
          <w:tcPr>
            <w:tcW w:w="709" w:type="dxa"/>
            <w:vAlign w:val="center"/>
          </w:tcPr>
          <w:p w:rsidR="009206CA" w:rsidRPr="00CA79E5" w:rsidRDefault="008D5C4F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1417" w:type="dxa"/>
            <w:vAlign w:val="center"/>
          </w:tcPr>
          <w:p w:rsidR="009206CA" w:rsidRPr="00CA79E5" w:rsidRDefault="009206CA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559" w:type="dxa"/>
            <w:vAlign w:val="center"/>
          </w:tcPr>
          <w:p w:rsidR="009206CA" w:rsidRPr="00CA79E5" w:rsidRDefault="008D5C4F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</w:rPr>
              <w:t>Unijuí</w:t>
            </w:r>
          </w:p>
        </w:tc>
        <w:tc>
          <w:tcPr>
            <w:tcW w:w="1418" w:type="dxa"/>
            <w:vAlign w:val="center"/>
          </w:tcPr>
          <w:p w:rsidR="009206CA" w:rsidRPr="00CA79E5" w:rsidRDefault="008D5C4F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4</w:t>
            </w:r>
            <w:r w:rsidR="009206CA" w:rsidRPr="00CA79E5">
              <w:rPr>
                <w:rFonts w:ascii="Book Antiqua" w:hAnsi="Book Antiqua"/>
                <w:sz w:val="20"/>
                <w:szCs w:val="20"/>
                <w:lang w:eastAsia="pt-BR"/>
              </w:rPr>
              <w:t>h</w:t>
            </w:r>
          </w:p>
        </w:tc>
      </w:tr>
      <w:tr w:rsidR="00CA79E5" w:rsidRPr="00CA79E5" w:rsidTr="00AF5681">
        <w:trPr>
          <w:jc w:val="center"/>
        </w:trPr>
        <w:tc>
          <w:tcPr>
            <w:tcW w:w="3658" w:type="dxa"/>
            <w:vAlign w:val="center"/>
          </w:tcPr>
          <w:p w:rsidR="009206CA" w:rsidRPr="00CA79E5" w:rsidRDefault="008D5C4F" w:rsidP="00421DC3">
            <w:pPr>
              <w:spacing w:before="120" w:after="12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CA79E5">
              <w:rPr>
                <w:rFonts w:ascii="Book Antiqua" w:hAnsi="Book Antiqua"/>
                <w:sz w:val="20"/>
                <w:szCs w:val="20"/>
              </w:rPr>
              <w:t>Gestão de Vendas</w:t>
            </w:r>
          </w:p>
        </w:tc>
        <w:tc>
          <w:tcPr>
            <w:tcW w:w="709" w:type="dxa"/>
            <w:vAlign w:val="center"/>
          </w:tcPr>
          <w:p w:rsidR="009206CA" w:rsidRPr="00CA79E5" w:rsidRDefault="009206CA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1417" w:type="dxa"/>
            <w:vAlign w:val="center"/>
          </w:tcPr>
          <w:p w:rsidR="009206CA" w:rsidRPr="00CA79E5" w:rsidRDefault="009206CA" w:rsidP="008D5C4F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0</w:t>
            </w:r>
            <w:r w:rsidR="008D5C4F" w:rsidRPr="00CA79E5">
              <w:rPr>
                <w:rFonts w:ascii="Book Antiqua" w:hAnsi="Book Antiqua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59" w:type="dxa"/>
            <w:vAlign w:val="center"/>
          </w:tcPr>
          <w:p w:rsidR="009206CA" w:rsidRPr="00CA79E5" w:rsidRDefault="008D5C4F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1418" w:type="dxa"/>
            <w:vAlign w:val="center"/>
          </w:tcPr>
          <w:p w:rsidR="009206CA" w:rsidRPr="00CA79E5" w:rsidRDefault="008D5C4F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40</w:t>
            </w:r>
            <w:r w:rsidR="009206CA" w:rsidRPr="00CA79E5">
              <w:rPr>
                <w:rFonts w:ascii="Book Antiqua" w:hAnsi="Book Antiqua"/>
                <w:sz w:val="20"/>
                <w:szCs w:val="20"/>
                <w:lang w:eastAsia="pt-BR"/>
              </w:rPr>
              <w:t>h</w:t>
            </w:r>
          </w:p>
        </w:tc>
      </w:tr>
      <w:tr w:rsidR="00CA79E5" w:rsidRPr="00CA79E5" w:rsidTr="00AF5681">
        <w:trPr>
          <w:jc w:val="center"/>
        </w:trPr>
        <w:tc>
          <w:tcPr>
            <w:tcW w:w="3658" w:type="dxa"/>
            <w:vAlign w:val="center"/>
          </w:tcPr>
          <w:p w:rsidR="008D5C4F" w:rsidRPr="00CA79E5" w:rsidRDefault="008D5C4F" w:rsidP="00421DC3">
            <w:pPr>
              <w:spacing w:before="120" w:after="12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A79E5">
              <w:rPr>
                <w:rFonts w:ascii="Book Antiqua" w:hAnsi="Book Antiqua"/>
                <w:sz w:val="20"/>
                <w:szCs w:val="20"/>
              </w:rPr>
              <w:t>Excel Avançado</w:t>
            </w:r>
          </w:p>
        </w:tc>
        <w:tc>
          <w:tcPr>
            <w:tcW w:w="709" w:type="dxa"/>
            <w:vAlign w:val="center"/>
          </w:tcPr>
          <w:p w:rsidR="008D5C4F" w:rsidRPr="00CA79E5" w:rsidRDefault="008D5C4F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1417" w:type="dxa"/>
            <w:vAlign w:val="center"/>
          </w:tcPr>
          <w:p w:rsidR="008D5C4F" w:rsidRPr="00CA79E5" w:rsidRDefault="008D5C4F" w:rsidP="008D5C4F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559" w:type="dxa"/>
            <w:vAlign w:val="center"/>
          </w:tcPr>
          <w:p w:rsidR="008D5C4F" w:rsidRPr="00CA79E5" w:rsidRDefault="008D5C4F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1418" w:type="dxa"/>
            <w:vAlign w:val="center"/>
          </w:tcPr>
          <w:p w:rsidR="008D5C4F" w:rsidRPr="00CA79E5" w:rsidRDefault="008D5C4F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12h</w:t>
            </w:r>
          </w:p>
        </w:tc>
      </w:tr>
      <w:tr w:rsidR="00CA79E5" w:rsidRPr="00CA79E5" w:rsidTr="00AF5681">
        <w:trPr>
          <w:jc w:val="center"/>
        </w:trPr>
        <w:tc>
          <w:tcPr>
            <w:tcW w:w="3658" w:type="dxa"/>
            <w:vAlign w:val="center"/>
          </w:tcPr>
          <w:p w:rsidR="009206CA" w:rsidRPr="00CA79E5" w:rsidRDefault="009C1874" w:rsidP="00421DC3">
            <w:pPr>
              <w:spacing w:before="120" w:after="12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A79E5">
              <w:rPr>
                <w:rFonts w:ascii="Book Antiqua" w:hAnsi="Book Antiqua"/>
                <w:sz w:val="20"/>
                <w:szCs w:val="20"/>
              </w:rPr>
              <w:t>Reportagem Multiplataforma</w:t>
            </w:r>
          </w:p>
        </w:tc>
        <w:tc>
          <w:tcPr>
            <w:tcW w:w="709" w:type="dxa"/>
            <w:vAlign w:val="center"/>
          </w:tcPr>
          <w:p w:rsidR="009206CA" w:rsidRPr="00CA79E5" w:rsidRDefault="009C1874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1417" w:type="dxa"/>
            <w:vAlign w:val="center"/>
          </w:tcPr>
          <w:p w:rsidR="009206CA" w:rsidRPr="00CA79E5" w:rsidRDefault="009206CA" w:rsidP="009C1874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0</w:t>
            </w:r>
            <w:r w:rsidR="009C1874" w:rsidRPr="00CA79E5">
              <w:rPr>
                <w:rFonts w:ascii="Book Antiqua" w:hAnsi="Book Antiqua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59" w:type="dxa"/>
            <w:vAlign w:val="center"/>
          </w:tcPr>
          <w:p w:rsidR="009206CA" w:rsidRPr="00CA79E5" w:rsidRDefault="009C1874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ESPM</w:t>
            </w:r>
          </w:p>
        </w:tc>
        <w:tc>
          <w:tcPr>
            <w:tcW w:w="1418" w:type="dxa"/>
            <w:vAlign w:val="center"/>
          </w:tcPr>
          <w:p w:rsidR="009206CA" w:rsidRPr="00CA79E5" w:rsidRDefault="009C1874" w:rsidP="00421DC3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  <w:lang w:eastAsia="pt-BR"/>
              </w:rPr>
            </w:pPr>
            <w:r w:rsidRPr="00CA79E5">
              <w:rPr>
                <w:rFonts w:ascii="Book Antiqua" w:hAnsi="Book Antiqua"/>
                <w:sz w:val="20"/>
                <w:szCs w:val="20"/>
                <w:lang w:eastAsia="pt-BR"/>
              </w:rPr>
              <w:t>12</w:t>
            </w:r>
            <w:r w:rsidR="009206CA" w:rsidRPr="00CA79E5">
              <w:rPr>
                <w:rFonts w:ascii="Book Antiqua" w:hAnsi="Book Antiqua"/>
                <w:sz w:val="20"/>
                <w:szCs w:val="20"/>
                <w:lang w:eastAsia="pt-BR"/>
              </w:rPr>
              <w:t>h</w:t>
            </w:r>
          </w:p>
        </w:tc>
      </w:tr>
    </w:tbl>
    <w:p w:rsidR="009206CA" w:rsidRPr="00CA79E5" w:rsidRDefault="009206CA" w:rsidP="002A2682">
      <w:pPr>
        <w:spacing w:after="0" w:line="240" w:lineRule="auto"/>
        <w:ind w:firstLine="708"/>
        <w:jc w:val="both"/>
        <w:rPr>
          <w:rFonts w:ascii="Book Antiqua" w:hAnsi="Book Antiqua"/>
          <w:sz w:val="20"/>
          <w:szCs w:val="20"/>
          <w:lang w:eastAsia="pt-BR"/>
        </w:rPr>
      </w:pPr>
      <w:bookmarkStart w:id="20" w:name="_Toc35256274"/>
      <w:bookmarkStart w:id="21" w:name="_Toc7511365"/>
      <w:bookmarkStart w:id="22" w:name="_Toc7511221"/>
      <w:bookmarkStart w:id="23" w:name="_Toc4737242"/>
      <w:r w:rsidRPr="00CA79E5">
        <w:rPr>
          <w:rFonts w:ascii="Book Antiqua" w:hAnsi="Book Antiqua"/>
          <w:sz w:val="20"/>
          <w:szCs w:val="20"/>
          <w:lang w:eastAsia="pt-BR"/>
        </w:rPr>
        <w:t xml:space="preserve">Tipo: </w:t>
      </w:r>
      <w:r w:rsidRPr="00CA79E5">
        <w:rPr>
          <w:rFonts w:ascii="Book Antiqua" w:hAnsi="Book Antiqua"/>
          <w:b/>
          <w:bCs/>
          <w:sz w:val="20"/>
          <w:szCs w:val="20"/>
          <w:lang w:eastAsia="pt-BR"/>
        </w:rPr>
        <w:t xml:space="preserve">S 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– Seminário; </w:t>
      </w:r>
      <w:r w:rsidRPr="00CA79E5">
        <w:rPr>
          <w:rFonts w:ascii="Book Antiqua" w:hAnsi="Book Antiqua"/>
          <w:b/>
          <w:bCs/>
          <w:sz w:val="20"/>
          <w:szCs w:val="20"/>
          <w:lang w:eastAsia="pt-BR"/>
        </w:rPr>
        <w:t xml:space="preserve">C 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– Curso; </w:t>
      </w:r>
      <w:r w:rsidRPr="00CA79E5">
        <w:rPr>
          <w:rFonts w:ascii="Book Antiqua" w:hAnsi="Book Antiqua"/>
          <w:b/>
          <w:bCs/>
          <w:sz w:val="20"/>
          <w:szCs w:val="20"/>
          <w:lang w:eastAsia="pt-BR"/>
        </w:rPr>
        <w:t xml:space="preserve">T </w:t>
      </w:r>
      <w:r w:rsidRPr="00CA79E5">
        <w:rPr>
          <w:rFonts w:ascii="Book Antiqua" w:hAnsi="Book Antiqua"/>
          <w:sz w:val="20"/>
          <w:szCs w:val="20"/>
          <w:lang w:eastAsia="pt-BR"/>
        </w:rPr>
        <w:t xml:space="preserve">– Treinamento; </w:t>
      </w:r>
      <w:r w:rsidRPr="00CA79E5">
        <w:rPr>
          <w:rFonts w:ascii="Book Antiqua" w:hAnsi="Book Antiqua"/>
          <w:b/>
          <w:bCs/>
          <w:sz w:val="20"/>
          <w:szCs w:val="20"/>
          <w:lang w:eastAsia="pt-BR"/>
        </w:rPr>
        <w:t xml:space="preserve">O – </w:t>
      </w:r>
      <w:r w:rsidRPr="00CA79E5">
        <w:rPr>
          <w:rFonts w:ascii="Book Antiqua" w:hAnsi="Book Antiqua"/>
          <w:sz w:val="20"/>
          <w:szCs w:val="20"/>
          <w:lang w:eastAsia="pt-BR"/>
        </w:rPr>
        <w:t>Outros</w:t>
      </w:r>
      <w:bookmarkEnd w:id="20"/>
      <w:bookmarkEnd w:id="21"/>
      <w:bookmarkEnd w:id="22"/>
      <w:bookmarkEnd w:id="23"/>
      <w:r w:rsidRPr="00CA79E5">
        <w:rPr>
          <w:rFonts w:ascii="Book Antiqua" w:hAnsi="Book Antiqua"/>
          <w:sz w:val="20"/>
          <w:szCs w:val="20"/>
          <w:lang w:eastAsia="pt-BR"/>
        </w:rPr>
        <w:t>.</w:t>
      </w:r>
    </w:p>
    <w:p w:rsidR="009206CA" w:rsidRPr="00CA79E5" w:rsidRDefault="009206CA" w:rsidP="009206CA">
      <w:pPr>
        <w:spacing w:before="120" w:after="120" w:line="240" w:lineRule="auto"/>
        <w:ind w:firstLine="851"/>
        <w:jc w:val="both"/>
        <w:rPr>
          <w:rFonts w:ascii="Book Antiqua" w:hAnsi="Book Antiqua"/>
          <w:sz w:val="20"/>
          <w:szCs w:val="20"/>
          <w:lang w:eastAsia="pt-BR"/>
        </w:rPr>
      </w:pPr>
    </w:p>
    <w:p w:rsidR="00941606" w:rsidRPr="00CA79E5" w:rsidRDefault="00941606" w:rsidP="00FD0814"/>
    <w:sectPr w:rsidR="00941606" w:rsidRPr="00CA79E5" w:rsidSect="002A268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43" w:rsidRDefault="006C7743" w:rsidP="009206CA">
      <w:pPr>
        <w:spacing w:after="0" w:line="240" w:lineRule="auto"/>
      </w:pPr>
      <w:r>
        <w:separator/>
      </w:r>
    </w:p>
  </w:endnote>
  <w:endnote w:type="continuationSeparator" w:id="0">
    <w:p w:rsidR="006C7743" w:rsidRDefault="006C7743" w:rsidP="0092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43" w:rsidRDefault="006C7743" w:rsidP="009206CA">
      <w:pPr>
        <w:spacing w:after="0" w:line="240" w:lineRule="auto"/>
      </w:pPr>
      <w:r>
        <w:separator/>
      </w:r>
    </w:p>
  </w:footnote>
  <w:footnote w:type="continuationSeparator" w:id="0">
    <w:p w:rsidR="006C7743" w:rsidRDefault="006C7743" w:rsidP="00920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B6C"/>
    <w:multiLevelType w:val="hybridMultilevel"/>
    <w:tmpl w:val="301C1012"/>
    <w:lvl w:ilvl="0" w:tplc="22E06AD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9B6014"/>
    <w:multiLevelType w:val="hybridMultilevel"/>
    <w:tmpl w:val="4962B83E"/>
    <w:lvl w:ilvl="0" w:tplc="22E06AD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29D4A7C"/>
    <w:multiLevelType w:val="hybridMultilevel"/>
    <w:tmpl w:val="829285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C5A65"/>
    <w:multiLevelType w:val="hybridMultilevel"/>
    <w:tmpl w:val="3F088E64"/>
    <w:lvl w:ilvl="0" w:tplc="22E06AD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D0D28CD"/>
    <w:multiLevelType w:val="hybridMultilevel"/>
    <w:tmpl w:val="17EC1D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14"/>
    <w:rsid w:val="00022C33"/>
    <w:rsid w:val="000D48C7"/>
    <w:rsid w:val="00170449"/>
    <w:rsid w:val="001D0D90"/>
    <w:rsid w:val="00275A12"/>
    <w:rsid w:val="002A2682"/>
    <w:rsid w:val="002B5F5E"/>
    <w:rsid w:val="002C6588"/>
    <w:rsid w:val="00347BA6"/>
    <w:rsid w:val="004B0EB6"/>
    <w:rsid w:val="004E4D4E"/>
    <w:rsid w:val="004F081B"/>
    <w:rsid w:val="006C7743"/>
    <w:rsid w:val="006E44B3"/>
    <w:rsid w:val="006E6E0C"/>
    <w:rsid w:val="007311F7"/>
    <w:rsid w:val="007A7920"/>
    <w:rsid w:val="00801A47"/>
    <w:rsid w:val="00871388"/>
    <w:rsid w:val="00881763"/>
    <w:rsid w:val="008D5C4F"/>
    <w:rsid w:val="00904418"/>
    <w:rsid w:val="009206CA"/>
    <w:rsid w:val="00941606"/>
    <w:rsid w:val="009C1874"/>
    <w:rsid w:val="00AF5681"/>
    <w:rsid w:val="00B4404D"/>
    <w:rsid w:val="00C276BF"/>
    <w:rsid w:val="00C54818"/>
    <w:rsid w:val="00CA79E5"/>
    <w:rsid w:val="00CD5319"/>
    <w:rsid w:val="00CE69EE"/>
    <w:rsid w:val="00E309CF"/>
    <w:rsid w:val="00FB7841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6859F-7A4D-4B25-8C40-D58844A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814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20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0814"/>
    <w:pPr>
      <w:ind w:left="720"/>
      <w:contextualSpacing/>
    </w:pPr>
  </w:style>
  <w:style w:type="paragraph" w:styleId="NormalWeb">
    <w:name w:val="Normal (Web)"/>
    <w:basedOn w:val="Normal"/>
    <w:uiPriority w:val="99"/>
    <w:rsid w:val="00920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206CA"/>
    <w:rPr>
      <w:color w:val="0000FF"/>
      <w:u w:val="single"/>
    </w:rPr>
  </w:style>
  <w:style w:type="paragraph" w:customStyle="1" w:styleId="Default">
    <w:name w:val="Default"/>
    <w:basedOn w:val="Normal"/>
    <w:rsid w:val="009206CA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06CA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06CA"/>
    <w:rPr>
      <w:rFonts w:ascii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06CA"/>
    <w:rPr>
      <w:vertAlign w:val="superscript"/>
    </w:rPr>
  </w:style>
  <w:style w:type="character" w:customStyle="1" w:styleId="apple-converted-space">
    <w:name w:val="apple-converted-space"/>
    <w:basedOn w:val="Fontepargpadro"/>
    <w:rsid w:val="009206CA"/>
  </w:style>
  <w:style w:type="paragraph" w:customStyle="1" w:styleId="ATitulo">
    <w:name w:val="A_Titulo"/>
    <w:basedOn w:val="Ttulo1"/>
    <w:link w:val="ATituloCharChar"/>
    <w:rsid w:val="009206CA"/>
    <w:pPr>
      <w:keepLines w:val="0"/>
      <w:pBdr>
        <w:bottom w:val="single" w:sz="36" w:space="1" w:color="C0C0C0"/>
      </w:pBdr>
      <w:spacing w:before="20" w:after="20" w:line="240" w:lineRule="auto"/>
    </w:pPr>
    <w:rPr>
      <w:rFonts w:ascii="Times New Roman" w:eastAsia="Times New Roman" w:hAnsi="Times New Roman" w:cs="Times New Roman"/>
      <w:color w:val="auto"/>
      <w:lang w:eastAsia="pt-BR"/>
    </w:rPr>
  </w:style>
  <w:style w:type="character" w:customStyle="1" w:styleId="ATituloCharChar">
    <w:name w:val="A_Titulo Char Char"/>
    <w:link w:val="ATitulo"/>
    <w:locked/>
    <w:rsid w:val="009206C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20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jui.edu.br/comunica/institucional/25319-popularizacao-da-ciencia-confira-o-que-foi-destaque-em-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mersive.sh/www.unijui.edu.br/uy1Mzes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2959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Hansen</dc:creator>
  <cp:lastModifiedBy>Marivane da Silva</cp:lastModifiedBy>
  <cp:revision>7</cp:revision>
  <dcterms:created xsi:type="dcterms:W3CDTF">2017-03-17T14:56:00Z</dcterms:created>
  <dcterms:modified xsi:type="dcterms:W3CDTF">2017-04-18T12:29:00Z</dcterms:modified>
</cp:coreProperties>
</file>