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EE5" w:rsidRPr="00C14A0E" w:rsidRDefault="00E97EE5" w:rsidP="00E97EE5">
      <w:pPr>
        <w:pStyle w:val="ATitulo"/>
        <w:numPr>
          <w:ilvl w:val="1"/>
          <w:numId w:val="1"/>
        </w:numPr>
        <w:spacing w:before="0" w:after="0"/>
        <w:rPr>
          <w:rFonts w:ascii="Book Antiqua" w:hAnsi="Book Antiqua"/>
          <w:sz w:val="20"/>
          <w:szCs w:val="20"/>
        </w:rPr>
      </w:pPr>
      <w:r w:rsidRPr="00C14A0E">
        <w:rPr>
          <w:rFonts w:ascii="Book Antiqua" w:hAnsi="Book Antiqua"/>
          <w:sz w:val="20"/>
          <w:szCs w:val="20"/>
        </w:rPr>
        <w:t xml:space="preserve">AUDITORIA INTERNA </w:t>
      </w:r>
    </w:p>
    <w:p w:rsidR="00E97EE5" w:rsidRPr="00C14A0E" w:rsidRDefault="00E97EE5" w:rsidP="00E97EE5">
      <w:pPr>
        <w:spacing w:before="120" w:after="120"/>
        <w:rPr>
          <w:rFonts w:ascii="Book Antiqua" w:hAnsi="Book Antiqua"/>
          <w:sz w:val="20"/>
          <w:szCs w:val="20"/>
        </w:rPr>
      </w:pPr>
      <w:r w:rsidRPr="00C14A0E">
        <w:rPr>
          <w:rFonts w:ascii="Book Antiqua" w:hAnsi="Book Antiqua"/>
          <w:b/>
          <w:sz w:val="20"/>
          <w:szCs w:val="20"/>
        </w:rPr>
        <w:t>Auditor Responsável:</w:t>
      </w:r>
      <w:r w:rsidRPr="00C14A0E">
        <w:rPr>
          <w:rFonts w:ascii="Book Antiqua" w:hAnsi="Book Antiqua"/>
          <w:sz w:val="20"/>
          <w:szCs w:val="20"/>
        </w:rPr>
        <w:t xml:space="preserve"> Miguel Arcangelo </w:t>
      </w:r>
      <w:proofErr w:type="spellStart"/>
      <w:r w:rsidRPr="00C14A0E">
        <w:rPr>
          <w:rFonts w:ascii="Book Antiqua" w:hAnsi="Book Antiqua"/>
          <w:sz w:val="20"/>
          <w:szCs w:val="20"/>
        </w:rPr>
        <w:t>Zortéa</w:t>
      </w:r>
      <w:proofErr w:type="spellEnd"/>
    </w:p>
    <w:p w:rsidR="00E97EE5" w:rsidRPr="00C14A0E" w:rsidRDefault="00E97EE5" w:rsidP="00E97EE5">
      <w:pPr>
        <w:spacing w:before="120" w:after="120"/>
        <w:ind w:firstLine="709"/>
        <w:jc w:val="both"/>
        <w:rPr>
          <w:rFonts w:ascii="Book Antiqua" w:hAnsi="Book Antiqua"/>
          <w:sz w:val="20"/>
          <w:szCs w:val="20"/>
        </w:rPr>
      </w:pPr>
      <w:r w:rsidRPr="00C14A0E">
        <w:rPr>
          <w:rFonts w:ascii="Book Antiqua" w:hAnsi="Book Antiqua"/>
          <w:sz w:val="20"/>
          <w:szCs w:val="20"/>
        </w:rPr>
        <w:t xml:space="preserve">A Auditoria Interna constitui um conjunto de procedimentos técnicos que tem por objetivo examinar a integridade, adequação e eficácia dos controles internos e das informações fiscais, contábeis e operacionais da Entidade. A auditoria interna é de competência de contador registrado no Conselho Regional de Contabilidade, denominado de auditor interno, tendo vínculo empregatício com a Instituição. </w:t>
      </w:r>
    </w:p>
    <w:p w:rsidR="00E97EE5" w:rsidRPr="00C14A0E" w:rsidRDefault="00E97EE5" w:rsidP="00E97EE5">
      <w:pPr>
        <w:spacing w:before="120" w:after="120"/>
        <w:ind w:firstLine="709"/>
        <w:jc w:val="both"/>
        <w:rPr>
          <w:rStyle w:val="Estilo11pt"/>
          <w:rFonts w:ascii="Book Antiqua" w:hAnsi="Book Antiqua"/>
          <w:szCs w:val="20"/>
        </w:rPr>
      </w:pPr>
      <w:r w:rsidRPr="00C14A0E">
        <w:rPr>
          <w:rStyle w:val="Estilo11pt"/>
          <w:rFonts w:ascii="Book Antiqua" w:hAnsi="Book Antiqua"/>
          <w:szCs w:val="20"/>
        </w:rPr>
        <w:t xml:space="preserve">O Serviço de Auditoria Interna tem como objetivos </w:t>
      </w:r>
      <w:r w:rsidRPr="00C14A0E">
        <w:rPr>
          <w:rFonts w:ascii="Book Antiqua" w:hAnsi="Book Antiqua"/>
          <w:sz w:val="20"/>
          <w:szCs w:val="20"/>
        </w:rPr>
        <w:t>o</w:t>
      </w:r>
      <w:r w:rsidRPr="00C14A0E">
        <w:rPr>
          <w:rStyle w:val="Estilo11pt"/>
          <w:rFonts w:ascii="Book Antiqua" w:hAnsi="Book Antiqua"/>
          <w:szCs w:val="20"/>
        </w:rPr>
        <w:t xml:space="preserve"> assessoramento e a avaliação da efetividade dos controles da Instituição, dando ênfase aos seus trabalhos na detecção de erro e de fraude para a avaliação do ambiente de controle. Neste sentido, para que a administração possa se certificar de que seus planos e metas sejam executados, necessita de um serviço de acompanhamento periódico, com um grau de profundidade, que se detenha mais nos processos e procedimentos de execução dos mesmos. Desta forma, não teria sentido traçar planos, metas e implementar controles se não houvesse alguém na Instituição em condições de verificar se os mesmos estão sendo seguidos </w:t>
      </w:r>
      <w:r w:rsidRPr="00C14A0E">
        <w:rPr>
          <w:rFonts w:ascii="Book Antiqua" w:hAnsi="Book Antiqua"/>
          <w:sz w:val="20"/>
          <w:szCs w:val="20"/>
        </w:rPr>
        <w:t>e</w:t>
      </w:r>
      <w:r w:rsidRPr="00C14A0E">
        <w:rPr>
          <w:rStyle w:val="Estilo11pt"/>
          <w:rFonts w:ascii="Book Antiqua" w:hAnsi="Book Antiqua"/>
          <w:szCs w:val="20"/>
        </w:rPr>
        <w:t xml:space="preserve"> cumpridos.</w:t>
      </w:r>
    </w:p>
    <w:p w:rsidR="00E97EE5" w:rsidRPr="00C14A0E" w:rsidRDefault="00E97EE5" w:rsidP="00E97EE5">
      <w:pPr>
        <w:spacing w:before="120" w:after="120"/>
        <w:ind w:firstLine="709"/>
        <w:jc w:val="both"/>
        <w:rPr>
          <w:rStyle w:val="Estilo11pt"/>
          <w:rFonts w:ascii="Book Antiqua" w:hAnsi="Book Antiqua"/>
          <w:szCs w:val="20"/>
        </w:rPr>
      </w:pPr>
      <w:r w:rsidRPr="00C14A0E">
        <w:rPr>
          <w:rStyle w:val="Estilo11pt"/>
          <w:rFonts w:ascii="Book Antiqua" w:hAnsi="Book Antiqua"/>
          <w:szCs w:val="20"/>
        </w:rPr>
        <w:t>A Auditoria Interna, além de realizar seus trabalhos de forma independente e prestar assessoramento à administração, está voltada para o exame e avaliação da adequação, eficiência e eficácia dos sistemas de controle, bem como da qualidade do desempenho das áreas em relação às atribuições e aos planos, metas, objetivos e políticas definidos para as mesmas. Este serviço caracteriza-se por um controle gerencial, que funciona por meio de medição e avaliação de outros controles.</w:t>
      </w:r>
    </w:p>
    <w:p w:rsidR="00E97EE5" w:rsidRPr="00C14A0E" w:rsidRDefault="00E97EE5" w:rsidP="00E97EE5">
      <w:pPr>
        <w:spacing w:before="120" w:after="120"/>
        <w:ind w:firstLine="709"/>
        <w:jc w:val="both"/>
        <w:rPr>
          <w:rFonts w:ascii="Book Antiqua" w:hAnsi="Book Antiqua"/>
          <w:sz w:val="20"/>
          <w:szCs w:val="20"/>
        </w:rPr>
      </w:pPr>
      <w:r w:rsidRPr="00C14A0E">
        <w:rPr>
          <w:rFonts w:ascii="Book Antiqua" w:hAnsi="Book Antiqua"/>
          <w:sz w:val="20"/>
          <w:szCs w:val="20"/>
        </w:rPr>
        <w:t>VISÃO: Constituir-se como unidade de apoio institucional de assessoramento e acompanhamento dos processos, buscando avaliar, assessorar, acompanhar e subsidiar as unidades com informações de modo a auxiliar nos procedimentos de controle e fiscalização.</w:t>
      </w:r>
    </w:p>
    <w:p w:rsidR="00E97EE5" w:rsidRPr="00C14A0E" w:rsidRDefault="00E97EE5" w:rsidP="00E97EE5">
      <w:pPr>
        <w:spacing w:before="120" w:after="120"/>
        <w:ind w:firstLine="709"/>
        <w:jc w:val="both"/>
        <w:rPr>
          <w:rFonts w:ascii="Book Antiqua" w:hAnsi="Book Antiqua"/>
          <w:sz w:val="20"/>
          <w:szCs w:val="20"/>
          <w:u w:val="single"/>
        </w:rPr>
      </w:pPr>
    </w:p>
    <w:p w:rsidR="00E97EE5" w:rsidRPr="00C14A0E" w:rsidRDefault="00E97EE5" w:rsidP="00E97EE5">
      <w:pPr>
        <w:pStyle w:val="Estilo11ptJustificado"/>
      </w:pPr>
      <w:r w:rsidRPr="00C14A0E">
        <w:t xml:space="preserve">OBJETIVOS: </w:t>
      </w:r>
    </w:p>
    <w:p w:rsidR="00E97EE5" w:rsidRPr="00C14A0E" w:rsidRDefault="00E97EE5" w:rsidP="00E97EE5">
      <w:pPr>
        <w:pStyle w:val="Estilo11ptJustificado"/>
        <w:numPr>
          <w:ilvl w:val="0"/>
          <w:numId w:val="3"/>
        </w:numPr>
        <w:spacing w:before="60" w:after="60"/>
        <w:ind w:left="357" w:hanging="357"/>
        <w:rPr>
          <w:b w:val="0"/>
        </w:rPr>
      </w:pPr>
      <w:r w:rsidRPr="00C14A0E">
        <w:rPr>
          <w:b w:val="0"/>
        </w:rPr>
        <w:t>Zelar pelo cumprimento das diretrizes orçamentárias estabelecidas, observando seus objetivos e finalidades, bem como o desempenho econômico-financeiro de cada unidade orçamentária.</w:t>
      </w:r>
    </w:p>
    <w:p w:rsidR="00E97EE5" w:rsidRPr="00C14A0E" w:rsidRDefault="00E97EE5" w:rsidP="00E97EE5">
      <w:pPr>
        <w:pStyle w:val="Estilo11ptJustificado"/>
        <w:numPr>
          <w:ilvl w:val="0"/>
          <w:numId w:val="3"/>
        </w:numPr>
        <w:spacing w:before="60" w:after="60"/>
        <w:ind w:left="357" w:hanging="357"/>
        <w:rPr>
          <w:b w:val="0"/>
        </w:rPr>
      </w:pPr>
      <w:r w:rsidRPr="00C14A0E">
        <w:rPr>
          <w:b w:val="0"/>
        </w:rPr>
        <w:t>Verificar se os registros contábeis foram efetuados de acordo com os princípios fundamentais de contabilidade e se as demonstrações deles decorrentes refletem adequadamente a situação econômico-financeira do patrimônio.</w:t>
      </w:r>
    </w:p>
    <w:p w:rsidR="00E97EE5" w:rsidRPr="00C14A0E" w:rsidRDefault="00E97EE5" w:rsidP="00E97EE5">
      <w:pPr>
        <w:pStyle w:val="Estilo11ptJustificado"/>
        <w:numPr>
          <w:ilvl w:val="0"/>
          <w:numId w:val="3"/>
        </w:numPr>
        <w:spacing w:before="60" w:after="60"/>
        <w:ind w:left="357" w:hanging="357"/>
        <w:rPr>
          <w:b w:val="0"/>
        </w:rPr>
      </w:pPr>
      <w:r w:rsidRPr="00C14A0E">
        <w:rPr>
          <w:b w:val="0"/>
        </w:rPr>
        <w:t>Examinar a integridade e fidedignidade das informações financeiras e operacionais e os meios utilizados para aferir, localizar, classificar e comunicar essas informações.</w:t>
      </w:r>
    </w:p>
    <w:p w:rsidR="00E97EE5" w:rsidRPr="00C14A0E" w:rsidRDefault="00E97EE5" w:rsidP="00E97EE5">
      <w:pPr>
        <w:pStyle w:val="Estilo11ptJustificado"/>
        <w:numPr>
          <w:ilvl w:val="0"/>
          <w:numId w:val="3"/>
        </w:numPr>
        <w:spacing w:before="60" w:after="60"/>
        <w:ind w:left="357" w:hanging="357"/>
        <w:rPr>
          <w:b w:val="0"/>
        </w:rPr>
      </w:pPr>
      <w:r w:rsidRPr="00C14A0E">
        <w:rPr>
          <w:b w:val="0"/>
        </w:rPr>
        <w:t>Examinar os sistemas estabelecidos para certificar a observância das políticas, planos, leis e regulamentos que tenham, ou possam ter, impacto sobre operações e relatórios.</w:t>
      </w:r>
    </w:p>
    <w:p w:rsidR="00E97EE5" w:rsidRPr="00C14A0E" w:rsidRDefault="00E97EE5" w:rsidP="00E97EE5">
      <w:pPr>
        <w:pStyle w:val="Estilo11ptJustificado"/>
        <w:numPr>
          <w:ilvl w:val="0"/>
          <w:numId w:val="3"/>
        </w:numPr>
        <w:spacing w:before="60" w:after="60"/>
        <w:ind w:left="357" w:hanging="357"/>
        <w:rPr>
          <w:b w:val="0"/>
        </w:rPr>
      </w:pPr>
      <w:r w:rsidRPr="00C14A0E">
        <w:rPr>
          <w:b w:val="0"/>
        </w:rPr>
        <w:t>Examinar os meios usados para proteção dos ativos e, se necessário, comprovar sua existência real.</w:t>
      </w:r>
    </w:p>
    <w:p w:rsidR="00E97EE5" w:rsidRPr="00C14A0E" w:rsidRDefault="00E97EE5" w:rsidP="00E97EE5">
      <w:pPr>
        <w:pStyle w:val="Estilo11ptJustificado"/>
        <w:numPr>
          <w:ilvl w:val="0"/>
          <w:numId w:val="3"/>
        </w:numPr>
        <w:spacing w:before="60" w:after="60"/>
        <w:ind w:left="357" w:hanging="357"/>
        <w:rPr>
          <w:b w:val="0"/>
        </w:rPr>
      </w:pPr>
      <w:r w:rsidRPr="00C14A0E">
        <w:rPr>
          <w:b w:val="0"/>
        </w:rPr>
        <w:t>Verificar se os recursos são empregados de maneira eficiente e econômica.</w:t>
      </w:r>
    </w:p>
    <w:p w:rsidR="00E97EE5" w:rsidRPr="00C14A0E" w:rsidRDefault="00E97EE5" w:rsidP="00E97EE5">
      <w:pPr>
        <w:pStyle w:val="Estilo11ptJustificado"/>
        <w:numPr>
          <w:ilvl w:val="0"/>
          <w:numId w:val="3"/>
        </w:numPr>
        <w:spacing w:before="60" w:after="60"/>
        <w:ind w:left="357" w:hanging="357"/>
        <w:rPr>
          <w:b w:val="0"/>
        </w:rPr>
      </w:pPr>
      <w:r w:rsidRPr="00C14A0E">
        <w:rPr>
          <w:b w:val="0"/>
        </w:rPr>
        <w:t>Examinar operações e programas e verificar se os resultados são compatíveis com os planos e se essas operações e programas são executados de acordo com o que foi planejado.</w:t>
      </w:r>
    </w:p>
    <w:p w:rsidR="00E97EE5" w:rsidRDefault="00E97EE5" w:rsidP="00E97EE5">
      <w:pPr>
        <w:pStyle w:val="Estilo11ptJustificado"/>
        <w:numPr>
          <w:ilvl w:val="0"/>
          <w:numId w:val="3"/>
        </w:numPr>
        <w:spacing w:before="60" w:after="60"/>
        <w:ind w:left="357" w:hanging="357"/>
        <w:rPr>
          <w:b w:val="0"/>
        </w:rPr>
      </w:pPr>
      <w:r w:rsidRPr="00C14A0E">
        <w:rPr>
          <w:b w:val="0"/>
        </w:rPr>
        <w:t>Comunicar o resultado do trabalho de auditoria e certificar-se que foram tomadas as providências determinadas pela administração em relação às suas recomendações.</w:t>
      </w:r>
    </w:p>
    <w:p w:rsidR="00E97EE5" w:rsidRPr="00C14A0E" w:rsidRDefault="00E97EE5" w:rsidP="00E97EE5">
      <w:pPr>
        <w:pStyle w:val="Estilo11ptJustificado"/>
      </w:pPr>
      <w:bookmarkStart w:id="0" w:name="_GoBack"/>
      <w:bookmarkEnd w:id="0"/>
      <w:r w:rsidRPr="00C14A0E">
        <w:t>Principais Atividades Desenvolvidas no Ano de 2016</w:t>
      </w:r>
    </w:p>
    <w:p w:rsidR="00E97EE5" w:rsidRPr="00C14A0E" w:rsidRDefault="00E97EE5" w:rsidP="00E97EE5">
      <w:pPr>
        <w:numPr>
          <w:ilvl w:val="0"/>
          <w:numId w:val="4"/>
        </w:numPr>
        <w:spacing w:before="80" w:after="80" w:line="240" w:lineRule="auto"/>
        <w:ind w:left="357" w:hanging="357"/>
        <w:jc w:val="both"/>
        <w:rPr>
          <w:rFonts w:ascii="Book Antiqua" w:hAnsi="Book Antiqua"/>
          <w:sz w:val="20"/>
          <w:szCs w:val="20"/>
        </w:rPr>
      </w:pPr>
      <w:r w:rsidRPr="00C14A0E">
        <w:rPr>
          <w:rFonts w:ascii="Book Antiqua" w:hAnsi="Book Antiqua"/>
          <w:sz w:val="20"/>
          <w:szCs w:val="20"/>
        </w:rPr>
        <w:t>Análise e avaliação dos contratos de locação para verificar a formalização e regularização dos encargos que a Instituição incorre quanto aos aspectos dos compromissos e encargos solidários com as entidades (empresas) instaladas em espaços de propriedade da FIDENE.</w:t>
      </w:r>
    </w:p>
    <w:p w:rsidR="00E97EE5" w:rsidRPr="00C14A0E" w:rsidRDefault="00E97EE5" w:rsidP="00E97EE5">
      <w:pPr>
        <w:numPr>
          <w:ilvl w:val="0"/>
          <w:numId w:val="4"/>
        </w:numPr>
        <w:spacing w:before="80" w:after="80" w:line="240" w:lineRule="auto"/>
        <w:ind w:left="357" w:hanging="357"/>
        <w:jc w:val="both"/>
        <w:rPr>
          <w:rFonts w:ascii="Book Antiqua" w:hAnsi="Book Antiqua"/>
          <w:sz w:val="20"/>
          <w:szCs w:val="20"/>
        </w:rPr>
      </w:pPr>
      <w:r w:rsidRPr="00C14A0E">
        <w:rPr>
          <w:rFonts w:ascii="Book Antiqua" w:hAnsi="Book Antiqua"/>
          <w:sz w:val="20"/>
          <w:szCs w:val="20"/>
        </w:rPr>
        <w:t xml:space="preserve">Estudo e entendimento da Interpretação Técnica Geral nº 2002 emitida pelo Conselho Federal de Contabilidade, estabelecendo critérios e procedimentos contábeis a serem cumpridos pelas Entidades Sem Finalidade de Lucro. Entre os procedimentos a serem seguidos consta a obrigatoriedade de segregar (registrar em contas próprias) os registros das receitas (receitas com </w:t>
      </w:r>
      <w:r w:rsidRPr="00C14A0E">
        <w:rPr>
          <w:rFonts w:ascii="Book Antiqua" w:hAnsi="Book Antiqua"/>
          <w:sz w:val="20"/>
          <w:szCs w:val="20"/>
        </w:rPr>
        <w:lastRenderedPageBreak/>
        <w:t xml:space="preserve">restrição) e despesas dos contratos/convênios como o </w:t>
      </w:r>
      <w:proofErr w:type="spellStart"/>
      <w:r w:rsidRPr="00C14A0E">
        <w:rPr>
          <w:rFonts w:ascii="Book Antiqua" w:hAnsi="Book Antiqua"/>
          <w:sz w:val="20"/>
          <w:szCs w:val="20"/>
        </w:rPr>
        <w:t>ProUni</w:t>
      </w:r>
      <w:proofErr w:type="spellEnd"/>
      <w:r w:rsidRPr="00C14A0E">
        <w:rPr>
          <w:rFonts w:ascii="Book Antiqua" w:hAnsi="Book Antiqua"/>
          <w:sz w:val="20"/>
          <w:szCs w:val="20"/>
        </w:rPr>
        <w:t xml:space="preserve"> e receita das mensalidades de estudantes bolsistas ou no mínimo elaboração de nota explicativa, quando da publicação das demonstrações contábeis, uma vez que são exigidas por entidades governamentais reguladoras, no caso da FIDENE tendo em vista a certificação que dá direito a isenções tributárias.</w:t>
      </w:r>
    </w:p>
    <w:p w:rsidR="00E97EE5" w:rsidRPr="00C14A0E" w:rsidRDefault="00E97EE5" w:rsidP="00E97EE5">
      <w:pPr>
        <w:numPr>
          <w:ilvl w:val="0"/>
          <w:numId w:val="4"/>
        </w:numPr>
        <w:spacing w:before="80" w:after="80" w:line="240" w:lineRule="auto"/>
        <w:ind w:left="357" w:hanging="357"/>
        <w:jc w:val="both"/>
        <w:rPr>
          <w:rFonts w:ascii="Book Antiqua" w:hAnsi="Book Antiqua"/>
          <w:sz w:val="20"/>
          <w:szCs w:val="20"/>
        </w:rPr>
      </w:pPr>
      <w:r w:rsidRPr="00C14A0E">
        <w:rPr>
          <w:rFonts w:ascii="Book Antiqua" w:hAnsi="Book Antiqua"/>
          <w:sz w:val="20"/>
          <w:szCs w:val="20"/>
        </w:rPr>
        <w:t>Revisão do valor do contrato entre o Município de Ijuí - Poder Executivo e a Fundação de Integração, Desenvolvimento e Educação do Noroeste do Estado do Rio Grande do Sul – FIDENE para verificar a existência de Desequilíbrio Financeiro, por ocasião da realização de concurso público do quadro de servidores da Prefeitura Municipal de Ijuí. Foi efetuada análise do contrato, com atenção aos valores do orçamento inicialmente contratado para execução de um volume estimado de atividade, tendo ocorrido um acréscimo de 70% no número de inscrições homologadas. O trabalho contemplou a comprovação dos gastos excepcionais, bem como elaboração de laudo atestando o desequilíbrio financeiro do contrato em questão, documento este demandado pelo Município de Ijuí, em virtude da complementação de valor solicitado pela Assessoria e Serviços Comunitários – ASC.</w:t>
      </w:r>
    </w:p>
    <w:p w:rsidR="00E97EE5" w:rsidRPr="00C14A0E" w:rsidRDefault="00E97EE5" w:rsidP="00E97EE5">
      <w:pPr>
        <w:numPr>
          <w:ilvl w:val="0"/>
          <w:numId w:val="4"/>
        </w:numPr>
        <w:spacing w:before="80" w:after="80" w:line="240" w:lineRule="auto"/>
        <w:ind w:left="357" w:hanging="357"/>
        <w:jc w:val="both"/>
        <w:rPr>
          <w:rFonts w:ascii="Book Antiqua" w:hAnsi="Book Antiqua"/>
          <w:sz w:val="20"/>
          <w:szCs w:val="20"/>
        </w:rPr>
      </w:pPr>
      <w:r w:rsidRPr="00C14A0E">
        <w:rPr>
          <w:rFonts w:ascii="Book Antiqua" w:hAnsi="Book Antiqua"/>
          <w:sz w:val="20"/>
          <w:szCs w:val="20"/>
        </w:rPr>
        <w:t>Auditoria das disponibilidades, item caixa, verificando a existência dos numerários mencionados nos boletins de caixa e na escrituração contábil, bem como verificar se os controles existentes asseguram a soma dos valores que deveriam existir na Tesouraria da FIDENE. O exame contemplou também a verificação dos documentos de recebimentos, pagamentos e de depósitos que suportam o numerário em caixa, bem como a análise das funções e relatórios do sistema caixa, integrado ao SIE.</w:t>
      </w:r>
    </w:p>
    <w:p w:rsidR="00E97EE5" w:rsidRPr="00C14A0E" w:rsidRDefault="00E97EE5" w:rsidP="00E97EE5">
      <w:pPr>
        <w:pStyle w:val="EstiloRecuodecorpodetexto311ptesquerda0cmDepois"/>
        <w:numPr>
          <w:ilvl w:val="0"/>
          <w:numId w:val="4"/>
        </w:numPr>
        <w:ind w:left="357" w:hanging="357"/>
      </w:pPr>
      <w:r w:rsidRPr="00C14A0E">
        <w:t>Verificação e análise das informações contábeis e gerenciais da UNIJUÍ, das demais mantidas e das informações consolidadas da FIDENE, relativas ao exercício de 2015 (balancete do mês de dezembro) e referentes ao exercício de 2016, informações do período em curso, com a finalidade de facilitar a compreensão, por parte dos diferentes usuários da Fundação, e avaliar se os valores são compatíveis com o que foi planejado para o período.</w:t>
      </w:r>
    </w:p>
    <w:p w:rsidR="00E97EE5" w:rsidRPr="00C14A0E" w:rsidRDefault="00E97EE5" w:rsidP="00E97EE5">
      <w:pPr>
        <w:pStyle w:val="EstiloRecuodecorpodetexto311ptesquerda0cmDepois"/>
        <w:numPr>
          <w:ilvl w:val="0"/>
          <w:numId w:val="4"/>
        </w:numPr>
        <w:ind w:left="357" w:hanging="357"/>
      </w:pPr>
      <w:r w:rsidRPr="00C14A0E">
        <w:t>Acompanhamento do processo de levantamento de inventários na Editora UNIJUÍ, Almoxarifado de Materiais, Laboratórios, Unidade Experimental do Curso de Agronomia (</w:t>
      </w:r>
      <w:proofErr w:type="spellStart"/>
      <w:r w:rsidRPr="00C14A0E">
        <w:t>IRDeR</w:t>
      </w:r>
      <w:proofErr w:type="spellEnd"/>
      <w:r w:rsidRPr="00C14A0E">
        <w:t xml:space="preserve">) e dos Bens do Ativo Imobilizado; objetivando verificar as existências dos diversos bens e materiais constados nos relatórios de controle, em atendimento à demanda da contabilidade para elaboração do balanço patrimonial da Instituição. </w:t>
      </w:r>
    </w:p>
    <w:p w:rsidR="00E97EE5" w:rsidRPr="00C14A0E" w:rsidRDefault="00E97EE5" w:rsidP="00E97EE5">
      <w:pPr>
        <w:numPr>
          <w:ilvl w:val="0"/>
          <w:numId w:val="4"/>
        </w:numPr>
        <w:spacing w:before="80" w:after="80" w:line="240" w:lineRule="auto"/>
        <w:ind w:left="357" w:hanging="357"/>
        <w:jc w:val="both"/>
        <w:rPr>
          <w:rFonts w:ascii="Book Antiqua" w:hAnsi="Book Antiqua"/>
          <w:sz w:val="20"/>
          <w:szCs w:val="20"/>
        </w:rPr>
      </w:pPr>
      <w:r w:rsidRPr="00C14A0E">
        <w:rPr>
          <w:rFonts w:ascii="Book Antiqua" w:hAnsi="Book Antiqua"/>
          <w:bCs/>
          <w:sz w:val="20"/>
          <w:szCs w:val="20"/>
        </w:rPr>
        <w:t xml:space="preserve">Realização de assessoria e atividades como membro do Conselho Fiscal indicado pela FIDENE junto ao </w:t>
      </w:r>
      <w:r w:rsidRPr="00C14A0E">
        <w:rPr>
          <w:rFonts w:ascii="Book Antiqua" w:hAnsi="Book Antiqua"/>
          <w:i/>
          <w:sz w:val="20"/>
          <w:szCs w:val="20"/>
        </w:rPr>
        <w:t>Centro de Defesa dos Direitos da Criança e do Adolescente – CEDEDICAI</w:t>
      </w:r>
      <w:r w:rsidRPr="00C14A0E">
        <w:rPr>
          <w:rFonts w:ascii="Book Antiqua" w:hAnsi="Book Antiqua"/>
          <w:bCs/>
          <w:sz w:val="20"/>
          <w:szCs w:val="20"/>
        </w:rPr>
        <w:t xml:space="preserve"> </w:t>
      </w:r>
      <w:r w:rsidRPr="00C14A0E">
        <w:rPr>
          <w:rFonts w:ascii="Book Antiqua" w:hAnsi="Book Antiqua"/>
          <w:sz w:val="20"/>
          <w:szCs w:val="20"/>
        </w:rPr>
        <w:t xml:space="preserve">para analisar o Relatório Anual das Atividades, o Balanço Patrimonial e a Demonstração do Resultado do Exercício e respectivos documentos referentes ao exercício encerrado em 31 de dezembro de 2015. O trabalho </w:t>
      </w:r>
      <w:r w:rsidRPr="00C14A0E">
        <w:rPr>
          <w:rFonts w:ascii="Book Antiqua" w:hAnsi="Book Antiqua"/>
          <w:bCs/>
          <w:sz w:val="20"/>
          <w:szCs w:val="20"/>
        </w:rPr>
        <w:t xml:space="preserve">abrangeu também os controles internos, a formalização da documentação quanto aos aspectos fiscal e contábil do período em curso. </w:t>
      </w:r>
    </w:p>
    <w:p w:rsidR="00E97EE5" w:rsidRPr="00C14A0E" w:rsidRDefault="00E97EE5" w:rsidP="00E97EE5">
      <w:pPr>
        <w:pStyle w:val="EstiloRecuodecorpodetexto311ptesquerda0cmDepois"/>
        <w:numPr>
          <w:ilvl w:val="0"/>
          <w:numId w:val="4"/>
        </w:numPr>
        <w:ind w:left="357" w:hanging="357"/>
      </w:pPr>
      <w:r w:rsidRPr="00C14A0E">
        <w:t>Assessoria na Associação Instituto de Políticas e Desenvolvimento – IPD, abrangendo os controles internos, a documentação contábil, os atos administrativos e de gestão que originou o Balanço Patrimonial e a DRE, bem como procedimento de análise do próprio balanço relativo ao exercício findo em 31 de dezembro de 2015. O trabalho abrangeu também a verificação de documentos e informações do ano em curso.</w:t>
      </w:r>
    </w:p>
    <w:p w:rsidR="00E97EE5" w:rsidRPr="00C14A0E" w:rsidRDefault="00E97EE5" w:rsidP="00E97EE5">
      <w:pPr>
        <w:widowControl w:val="0"/>
        <w:numPr>
          <w:ilvl w:val="0"/>
          <w:numId w:val="4"/>
        </w:numPr>
        <w:autoSpaceDE w:val="0"/>
        <w:autoSpaceDN w:val="0"/>
        <w:adjustRightInd w:val="0"/>
        <w:spacing w:before="80" w:after="80" w:line="240" w:lineRule="auto"/>
        <w:ind w:left="357" w:hanging="357"/>
        <w:jc w:val="both"/>
        <w:rPr>
          <w:rFonts w:ascii="Book Antiqua" w:hAnsi="Book Antiqua"/>
          <w:sz w:val="20"/>
          <w:szCs w:val="20"/>
        </w:rPr>
      </w:pPr>
      <w:r w:rsidRPr="00C14A0E">
        <w:rPr>
          <w:rFonts w:ascii="Book Antiqua" w:hAnsi="Book Antiqua"/>
          <w:sz w:val="20"/>
          <w:szCs w:val="20"/>
        </w:rPr>
        <w:t>Aplicação de programa de auditoria para verificar os compromissos da FIDENE e de suas mantidas com entidades reguladoras, bem como os encaminhamentos pertinentes; visando o atendimento em tempo hábil (quando do seu vencimento), para que as atividades da Instituição tenham seu curso sem impedimentos.</w:t>
      </w:r>
    </w:p>
    <w:p w:rsidR="00E97EE5" w:rsidRPr="00C14A0E" w:rsidRDefault="00E97EE5" w:rsidP="00E97EE5">
      <w:pPr>
        <w:widowControl w:val="0"/>
        <w:numPr>
          <w:ilvl w:val="0"/>
          <w:numId w:val="4"/>
        </w:numPr>
        <w:autoSpaceDE w:val="0"/>
        <w:autoSpaceDN w:val="0"/>
        <w:adjustRightInd w:val="0"/>
        <w:spacing w:before="80" w:after="80" w:line="240" w:lineRule="auto"/>
        <w:ind w:left="357" w:hanging="357"/>
        <w:jc w:val="both"/>
        <w:rPr>
          <w:rFonts w:ascii="Book Antiqua" w:hAnsi="Book Antiqua"/>
          <w:sz w:val="20"/>
          <w:szCs w:val="20"/>
        </w:rPr>
      </w:pPr>
      <w:r w:rsidRPr="00C14A0E">
        <w:rPr>
          <w:rFonts w:ascii="Book Antiqua" w:hAnsi="Book Antiqua"/>
          <w:sz w:val="20"/>
          <w:szCs w:val="20"/>
        </w:rPr>
        <w:t>Verificação, análise e fiscalização da utilização das bolsas de estudos previstas no Dissídio Coletivo de Trabalho dos técnicos-administrativos e de apoio.</w:t>
      </w:r>
    </w:p>
    <w:p w:rsidR="00E97EE5" w:rsidRPr="00C14A0E" w:rsidRDefault="00E97EE5" w:rsidP="00E97EE5">
      <w:pPr>
        <w:pStyle w:val="EstiloRecuodecorpodetexto311ptesquerda0cmDepois"/>
        <w:numPr>
          <w:ilvl w:val="0"/>
          <w:numId w:val="4"/>
        </w:numPr>
        <w:ind w:left="357" w:hanging="357"/>
      </w:pPr>
      <w:r w:rsidRPr="00C14A0E">
        <w:t xml:space="preserve">Participação em reuniões de trabalho abrangendo diversos assuntos em setores como: Núcleo de Contabilidade, MADP, EFA, Assessoria Jurídica, Tesouraria, Coordenadoria Financeira, Núcleo de Controle Patrimonial, Coordenadoria Patrimonial, Laboratórios, Coordenadoria de Informática e em demandas de outros setores e da direção da Instituição. </w:t>
      </w:r>
    </w:p>
    <w:p w:rsidR="0034415C" w:rsidRPr="00C14A0E" w:rsidRDefault="0034415C"/>
    <w:sectPr w:rsidR="0034415C" w:rsidRPr="00C14A0E" w:rsidSect="00B2459A">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51F3"/>
    <w:multiLevelType w:val="multilevel"/>
    <w:tmpl w:val="D2022CA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sz w:val="20"/>
        <w:szCs w:val="2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110F01"/>
    <w:multiLevelType w:val="hybridMultilevel"/>
    <w:tmpl w:val="7B6EB4F6"/>
    <w:lvl w:ilvl="0" w:tplc="8C504822">
      <w:start w:val="1"/>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2C17392"/>
    <w:multiLevelType w:val="hybridMultilevel"/>
    <w:tmpl w:val="86947B70"/>
    <w:lvl w:ilvl="0" w:tplc="DCA09D72">
      <w:start w:val="1"/>
      <w:numFmt w:val="bullet"/>
      <w:pStyle w:val="EstiloRecuodecorpodetexto311ptesquerda0cmDepois"/>
      <w:lvlText w:val=""/>
      <w:lvlJc w:val="left"/>
      <w:pPr>
        <w:ind w:left="720" w:hanging="360"/>
      </w:pPr>
      <w:rPr>
        <w:rFonts w:ascii="Symbol" w:hAnsi="Symbol" w:hint="default"/>
        <w:sz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B9947EC"/>
    <w:multiLevelType w:val="hybridMultilevel"/>
    <w:tmpl w:val="F96657BC"/>
    <w:lvl w:ilvl="0" w:tplc="8C504822">
      <w:start w:val="1"/>
      <w:numFmt w:val="bullet"/>
      <w:lvlText w:val="-"/>
      <w:lvlJc w:val="left"/>
      <w:pPr>
        <w:ind w:left="360" w:hanging="360"/>
      </w:pPr>
      <w:rPr>
        <w:rFonts w:ascii="Arial" w:hAnsi="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E5"/>
    <w:rsid w:val="0034415C"/>
    <w:rsid w:val="00B2459A"/>
    <w:rsid w:val="00C14A0E"/>
    <w:rsid w:val="00E97E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FEB5"/>
  <w15:chartTrackingRefBased/>
  <w15:docId w15:val="{3292B978-3D2F-4EC2-97E8-15BFD6A6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E97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Titulo">
    <w:name w:val="A_Titulo"/>
    <w:basedOn w:val="Ttulo1"/>
    <w:link w:val="ATituloCharChar"/>
    <w:rsid w:val="00E97EE5"/>
    <w:pPr>
      <w:keepLines w:val="0"/>
      <w:pBdr>
        <w:bottom w:val="single" w:sz="36" w:space="1" w:color="C0C0C0"/>
      </w:pBdr>
      <w:spacing w:before="20" w:after="20" w:line="240" w:lineRule="auto"/>
    </w:pPr>
    <w:rPr>
      <w:rFonts w:ascii="Times New Roman" w:eastAsia="Times New Roman" w:hAnsi="Times New Roman" w:cs="Times New Roman"/>
      <w:b/>
      <w:color w:val="auto"/>
      <w:sz w:val="28"/>
      <w:szCs w:val="28"/>
      <w:lang w:eastAsia="pt-BR"/>
    </w:rPr>
  </w:style>
  <w:style w:type="character" w:customStyle="1" w:styleId="Estilo11pt">
    <w:name w:val="Estilo 11 pt"/>
    <w:rsid w:val="00E97EE5"/>
    <w:rPr>
      <w:sz w:val="20"/>
    </w:rPr>
  </w:style>
  <w:style w:type="paragraph" w:customStyle="1" w:styleId="Estilo11ptJustificado">
    <w:name w:val="Estilo 11 pt Justificado"/>
    <w:basedOn w:val="Normal"/>
    <w:autoRedefine/>
    <w:rsid w:val="00E97EE5"/>
    <w:pPr>
      <w:spacing w:before="120" w:after="120" w:line="240" w:lineRule="auto"/>
      <w:jc w:val="both"/>
    </w:pPr>
    <w:rPr>
      <w:rFonts w:ascii="Book Antiqua" w:eastAsia="Times New Roman" w:hAnsi="Book Antiqua" w:cs="Times New Roman"/>
      <w:b/>
      <w:sz w:val="20"/>
      <w:szCs w:val="20"/>
      <w:lang w:eastAsia="pt-BR"/>
    </w:rPr>
  </w:style>
  <w:style w:type="paragraph" w:customStyle="1" w:styleId="EstiloRecuodecorpodetexto311ptesquerda0cmDepois">
    <w:name w:val="Estilo Recuo de corpo de texto 3 + 11 pt À esquerda:  0 cm Depois ..."/>
    <w:basedOn w:val="Recuodecorpodetexto3"/>
    <w:autoRedefine/>
    <w:rsid w:val="00E97EE5"/>
    <w:pPr>
      <w:numPr>
        <w:numId w:val="2"/>
      </w:numPr>
      <w:tabs>
        <w:tab w:val="num" w:pos="360"/>
      </w:tabs>
      <w:spacing w:before="80" w:after="80" w:line="240" w:lineRule="auto"/>
      <w:ind w:left="349" w:firstLine="0"/>
      <w:jc w:val="both"/>
    </w:pPr>
    <w:rPr>
      <w:rFonts w:ascii="Book Antiqua" w:eastAsia="Times New Roman" w:hAnsi="Book Antiqua" w:cs="Times New Roman"/>
      <w:sz w:val="20"/>
      <w:szCs w:val="20"/>
      <w:lang w:eastAsia="pt-BR"/>
    </w:rPr>
  </w:style>
  <w:style w:type="character" w:customStyle="1" w:styleId="ATituloCharChar">
    <w:name w:val="A_Titulo Char Char"/>
    <w:link w:val="ATitulo"/>
    <w:locked/>
    <w:rsid w:val="00E97EE5"/>
    <w:rPr>
      <w:rFonts w:ascii="Times New Roman" w:eastAsia="Times New Roman" w:hAnsi="Times New Roman" w:cs="Times New Roman"/>
      <w:b/>
      <w:sz w:val="28"/>
      <w:szCs w:val="28"/>
      <w:lang w:eastAsia="pt-BR"/>
    </w:rPr>
  </w:style>
  <w:style w:type="character" w:customStyle="1" w:styleId="Ttulo1Char">
    <w:name w:val="Título 1 Char"/>
    <w:basedOn w:val="Fontepargpadro"/>
    <w:link w:val="Ttulo1"/>
    <w:uiPriority w:val="9"/>
    <w:rsid w:val="00E97EE5"/>
    <w:rPr>
      <w:rFonts w:asciiTheme="majorHAnsi" w:eastAsiaTheme="majorEastAsia" w:hAnsiTheme="majorHAnsi" w:cstheme="majorBidi"/>
      <w:color w:val="2E74B5" w:themeColor="accent1" w:themeShade="BF"/>
      <w:sz w:val="32"/>
      <w:szCs w:val="32"/>
    </w:rPr>
  </w:style>
  <w:style w:type="paragraph" w:styleId="Recuodecorpodetexto3">
    <w:name w:val="Body Text Indent 3"/>
    <w:basedOn w:val="Normal"/>
    <w:link w:val="Recuodecorpodetexto3Char"/>
    <w:uiPriority w:val="99"/>
    <w:semiHidden/>
    <w:unhideWhenUsed/>
    <w:rsid w:val="00E97EE5"/>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E97EE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1261</Words>
  <Characters>6811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Marivane da Silva</dc:creator>
  <cp:keywords/>
  <dc:description/>
  <cp:lastModifiedBy>Marivane da Silva</cp:lastModifiedBy>
  <cp:revision>4</cp:revision>
  <dcterms:created xsi:type="dcterms:W3CDTF">2017-04-24T13:20:00Z</dcterms:created>
  <dcterms:modified xsi:type="dcterms:W3CDTF">2017-04-24T13:21:00Z</dcterms:modified>
</cp:coreProperties>
</file>